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EC" w:rsidRPr="009C6E23" w:rsidRDefault="00C249EC" w:rsidP="007B7E3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</w:p>
    <w:p w:rsidR="00C249EC" w:rsidRPr="009C6E23" w:rsidRDefault="00EF2009" w:rsidP="007B7E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  <w:r w:rsidRPr="009C6E23">
        <w:rPr>
          <w:rFonts w:ascii="Times New Roman" w:hAnsi="Times New Roman" w:cs="Times New Roman"/>
          <w:b/>
          <w:i/>
          <w:sz w:val="28"/>
          <w:szCs w:val="28"/>
          <w:lang w:val="es-MX"/>
        </w:rPr>
        <w:t>Intervención del Ministerio Público</w:t>
      </w:r>
    </w:p>
    <w:p w:rsidR="00EF2009" w:rsidRPr="009C6E23" w:rsidRDefault="00A74B93" w:rsidP="007B7E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  <w:r w:rsidRPr="009C6E23">
        <w:rPr>
          <w:rFonts w:ascii="Times New Roman" w:hAnsi="Times New Roman" w:cs="Times New Roman"/>
          <w:b/>
          <w:i/>
          <w:sz w:val="28"/>
          <w:szCs w:val="28"/>
          <w:lang w:val="es-MX"/>
        </w:rPr>
        <w:t>Examen Periódico Universal a Guatemala</w:t>
      </w:r>
    </w:p>
    <w:p w:rsidR="00A74B93" w:rsidRPr="009C6E23" w:rsidRDefault="00A74B93" w:rsidP="007B7E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  <w:r w:rsidRPr="009C6E23">
        <w:rPr>
          <w:rFonts w:ascii="Times New Roman" w:hAnsi="Times New Roman" w:cs="Times New Roman"/>
          <w:b/>
          <w:i/>
          <w:sz w:val="28"/>
          <w:szCs w:val="28"/>
          <w:lang w:val="es-MX"/>
        </w:rPr>
        <w:t>24 de octubre 2012</w:t>
      </w:r>
    </w:p>
    <w:p w:rsidR="00C249EC" w:rsidRPr="009C6E23" w:rsidRDefault="00C249EC" w:rsidP="007B7E31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</w:p>
    <w:p w:rsidR="00AE39E6" w:rsidRDefault="00075A92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C6E23">
        <w:rPr>
          <w:rFonts w:ascii="Times New Roman" w:hAnsi="Times New Roman" w:cs="Times New Roman"/>
          <w:sz w:val="28"/>
          <w:szCs w:val="28"/>
        </w:rPr>
        <w:t xml:space="preserve">A partir de la reforma procesal penal de 1994, el Ministerio Público se convierte en la entidad </w:t>
      </w:r>
      <w:r w:rsidRPr="009C6E23">
        <w:rPr>
          <w:rFonts w:ascii="Times New Roman" w:hAnsi="Times New Roman" w:cs="Times New Roman"/>
          <w:sz w:val="28"/>
          <w:szCs w:val="28"/>
          <w:lang w:val="es-ES"/>
        </w:rPr>
        <w:t>r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esponsable </w:t>
      </w:r>
      <w:r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de la investigación </w:t>
      </w:r>
      <w:bookmarkStart w:id="0" w:name="_GoBack"/>
      <w:bookmarkEnd w:id="0"/>
      <w:r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>persecución penal</w:t>
      </w:r>
      <w:r w:rsidRPr="009C6E23">
        <w:rPr>
          <w:rFonts w:ascii="Times New Roman" w:hAnsi="Times New Roman" w:cs="Times New Roman"/>
          <w:sz w:val="28"/>
          <w:szCs w:val="28"/>
          <w:lang w:val="es-ES"/>
        </w:rPr>
        <w:t>, con las tareas de d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irección funcional de la investigación </w:t>
      </w:r>
      <w:r w:rsidRPr="009C6E23">
        <w:rPr>
          <w:rFonts w:ascii="Times New Roman" w:hAnsi="Times New Roman" w:cs="Times New Roman"/>
          <w:sz w:val="28"/>
          <w:szCs w:val="28"/>
          <w:lang w:val="es-ES"/>
        </w:rPr>
        <w:t>criminal,</w:t>
      </w:r>
      <w:r w:rsidR="009E466A" w:rsidRPr="009C6E23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r w:rsidR="00CD7870" w:rsidRPr="009C6E23">
        <w:rPr>
          <w:rFonts w:ascii="Times New Roman" w:hAnsi="Times New Roman" w:cs="Times New Roman"/>
          <w:sz w:val="28"/>
          <w:szCs w:val="28"/>
          <w:lang w:val="es-ES"/>
        </w:rPr>
        <w:t>definición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de política persecución penal</w:t>
      </w:r>
      <w:r w:rsidRPr="009C6E23">
        <w:rPr>
          <w:rFonts w:ascii="Times New Roman" w:hAnsi="Times New Roman" w:cs="Times New Roman"/>
          <w:sz w:val="28"/>
          <w:szCs w:val="28"/>
          <w:lang w:val="es-CR"/>
        </w:rPr>
        <w:t xml:space="preserve"> y </w:t>
      </w:r>
      <w:r w:rsidR="009C6E23">
        <w:rPr>
          <w:rFonts w:ascii="Times New Roman" w:hAnsi="Times New Roman" w:cs="Times New Roman"/>
          <w:sz w:val="28"/>
          <w:szCs w:val="28"/>
          <w:lang w:val="es-ES"/>
        </w:rPr>
        <w:t>garantía de los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derechos de la víctima</w:t>
      </w:r>
      <w:r w:rsidR="009E466A" w:rsidRPr="009C6E2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9C6E23">
        <w:rPr>
          <w:rFonts w:ascii="Times New Roman" w:hAnsi="Times New Roman" w:cs="Times New Roman"/>
          <w:sz w:val="28"/>
          <w:szCs w:val="28"/>
          <w:lang w:val="es-ES"/>
        </w:rPr>
        <w:t xml:space="preserve"> Dados los niveles históric</w:t>
      </w:r>
      <w:r w:rsidR="00777CFD">
        <w:rPr>
          <w:rFonts w:ascii="Times New Roman" w:hAnsi="Times New Roman" w:cs="Times New Roman"/>
          <w:sz w:val="28"/>
          <w:szCs w:val="28"/>
          <w:lang w:val="es-ES"/>
        </w:rPr>
        <w:t xml:space="preserve">os de violencia e impunidad, se han </w:t>
      </w:r>
      <w:r w:rsidR="00AE39E6">
        <w:rPr>
          <w:rFonts w:ascii="Times New Roman" w:hAnsi="Times New Roman" w:cs="Times New Roman"/>
          <w:sz w:val="28"/>
          <w:szCs w:val="28"/>
          <w:lang w:val="es-ES"/>
        </w:rPr>
        <w:t>definido como prioridades para la persecución penal:</w:t>
      </w:r>
    </w:p>
    <w:p w:rsidR="00AE39E6" w:rsidRDefault="009C6E23" w:rsidP="00AE39E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E39E6">
        <w:rPr>
          <w:rFonts w:ascii="Times New Roman" w:hAnsi="Times New Roman" w:cs="Times New Roman"/>
          <w:sz w:val="28"/>
          <w:szCs w:val="28"/>
          <w:lang w:val="es-ES"/>
        </w:rPr>
        <w:t xml:space="preserve"> los delitos contra la vida, </w:t>
      </w:r>
    </w:p>
    <w:p w:rsidR="00AE39E6" w:rsidRDefault="009C6E23" w:rsidP="00AE39E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E39E6">
        <w:rPr>
          <w:rFonts w:ascii="Times New Roman" w:hAnsi="Times New Roman" w:cs="Times New Roman"/>
          <w:sz w:val="28"/>
          <w:szCs w:val="28"/>
          <w:lang w:val="es-ES"/>
        </w:rPr>
        <w:t>la violencia contra la mujer en sus diversas manifestaciones</w:t>
      </w:r>
      <w:r w:rsidR="00EA3DC1" w:rsidRPr="00AE39E6">
        <w:rPr>
          <w:rFonts w:ascii="Times New Roman" w:hAnsi="Times New Roman" w:cs="Times New Roman"/>
          <w:sz w:val="28"/>
          <w:szCs w:val="28"/>
          <w:lang w:val="es-ES"/>
        </w:rPr>
        <w:t xml:space="preserve"> que es el delito más denunciado, constituyendo un 25% del total de denuncias que ingresan a la institución</w:t>
      </w:r>
      <w:r w:rsidRPr="00AE39E6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</w:p>
    <w:p w:rsidR="00777CFD" w:rsidRDefault="009C6E23" w:rsidP="00AE39E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777CFD">
        <w:rPr>
          <w:rFonts w:ascii="Times New Roman" w:hAnsi="Times New Roman" w:cs="Times New Roman"/>
          <w:sz w:val="28"/>
          <w:szCs w:val="28"/>
          <w:lang w:val="es-ES"/>
        </w:rPr>
        <w:t xml:space="preserve">el combate al crimen organizado </w:t>
      </w:r>
    </w:p>
    <w:p w:rsidR="009C6E23" w:rsidRPr="00777CFD" w:rsidRDefault="009C6E23" w:rsidP="00AE39E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777CFD">
        <w:rPr>
          <w:rFonts w:ascii="Times New Roman" w:hAnsi="Times New Roman" w:cs="Times New Roman"/>
          <w:sz w:val="28"/>
          <w:szCs w:val="28"/>
          <w:lang w:val="es-ES"/>
        </w:rPr>
        <w:t>el combate a la corrupción.</w:t>
      </w:r>
    </w:p>
    <w:p w:rsidR="009C6E23" w:rsidRDefault="00777CFD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spellStart"/>
      <w:r w:rsidRPr="009C6E2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C6E23">
        <w:rPr>
          <w:rFonts w:ascii="Times New Roman" w:hAnsi="Times New Roman" w:cs="Times New Roman"/>
          <w:sz w:val="28"/>
          <w:szCs w:val="28"/>
        </w:rPr>
        <w:t xml:space="preserve"> el objetivo de aumentar los niveles de efectividad en la respuesta institucional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para</w:t>
      </w:r>
      <w:r w:rsidR="00385CE3">
        <w:rPr>
          <w:rFonts w:ascii="Times New Roman" w:hAnsi="Times New Roman" w:cs="Times New Roman"/>
          <w:sz w:val="28"/>
          <w:szCs w:val="28"/>
          <w:lang w:val="es-ES"/>
        </w:rPr>
        <w:t xml:space="preserve"> estos delitos</w:t>
      </w:r>
      <w:r w:rsidR="00EF2009" w:rsidRPr="009C6E23">
        <w:rPr>
          <w:rFonts w:ascii="Times New Roman" w:hAnsi="Times New Roman" w:cs="Times New Roman"/>
          <w:sz w:val="28"/>
          <w:szCs w:val="28"/>
        </w:rPr>
        <w:t xml:space="preserve"> el Ministerio Público </w:t>
      </w:r>
      <w:r w:rsidR="009C6E23">
        <w:rPr>
          <w:rFonts w:ascii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hAnsi="Times New Roman" w:cs="Times New Roman"/>
          <w:sz w:val="28"/>
          <w:szCs w:val="28"/>
        </w:rPr>
        <w:t>implementado las siguientes</w:t>
      </w:r>
      <w:r w:rsidR="009C6E23">
        <w:rPr>
          <w:rFonts w:ascii="Times New Roman" w:hAnsi="Times New Roman" w:cs="Times New Roman"/>
          <w:sz w:val="28"/>
          <w:szCs w:val="28"/>
        </w:rPr>
        <w:t xml:space="preserve"> estrategias </w:t>
      </w:r>
      <w:r w:rsidR="00CD7870" w:rsidRPr="009C6E23">
        <w:rPr>
          <w:rFonts w:ascii="Times New Roman" w:hAnsi="Times New Roman" w:cs="Times New Roman"/>
          <w:sz w:val="28"/>
          <w:szCs w:val="28"/>
        </w:rPr>
        <w:t xml:space="preserve">de </w:t>
      </w:r>
      <w:r w:rsidR="00CD7870" w:rsidRPr="00777CFD">
        <w:rPr>
          <w:rFonts w:ascii="Times New Roman" w:hAnsi="Times New Roman" w:cs="Times New Roman"/>
          <w:i/>
          <w:sz w:val="28"/>
          <w:szCs w:val="28"/>
        </w:rPr>
        <w:t>trabajo</w:t>
      </w:r>
      <w:r w:rsidR="009C6E23">
        <w:rPr>
          <w:rFonts w:ascii="Times New Roman" w:hAnsi="Times New Roman" w:cs="Times New Roman"/>
          <w:sz w:val="28"/>
          <w:szCs w:val="28"/>
        </w:rPr>
        <w:t>:</w:t>
      </w:r>
    </w:p>
    <w:p w:rsidR="00777CFD" w:rsidRDefault="00777CFD" w:rsidP="007B7E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GT"/>
        </w:rPr>
        <w:t>La</w:t>
      </w:r>
      <w:r w:rsidR="009C6E23" w:rsidRPr="009C6E23">
        <w:rPr>
          <w:rFonts w:ascii="Times New Roman" w:hAnsi="Times New Roman" w:cs="Times New Roman"/>
          <w:sz w:val="28"/>
          <w:szCs w:val="28"/>
        </w:rPr>
        <w:t xml:space="preserve"> coordinación interinstitucional </w:t>
      </w:r>
      <w:r w:rsidR="009C6E23">
        <w:rPr>
          <w:rFonts w:ascii="Times New Roman" w:hAnsi="Times New Roman" w:cs="Times New Roman"/>
          <w:sz w:val="28"/>
          <w:szCs w:val="28"/>
        </w:rPr>
        <w:t>expresada en</w:t>
      </w:r>
      <w:r w:rsidR="009C6E23" w:rsidRPr="009C6E23">
        <w:rPr>
          <w:rFonts w:ascii="Times New Roman" w:hAnsi="Times New Roman" w:cs="Times New Roman"/>
          <w:sz w:val="28"/>
          <w:szCs w:val="28"/>
        </w:rPr>
        <w:t xml:space="preserve"> una dinámica de estrecha colaboración entre Ministerio Público y Ministerio de </w:t>
      </w:r>
      <w:r w:rsidR="009C6E23" w:rsidRPr="009C6E23">
        <w:rPr>
          <w:rFonts w:ascii="Times New Roman" w:hAnsi="Times New Roman" w:cs="Times New Roman"/>
          <w:sz w:val="28"/>
          <w:szCs w:val="28"/>
        </w:rPr>
        <w:lastRenderedPageBreak/>
        <w:t>Gobernación</w:t>
      </w:r>
      <w:r w:rsidR="009C6E23">
        <w:rPr>
          <w:rFonts w:ascii="Times New Roman" w:hAnsi="Times New Roman" w:cs="Times New Roman"/>
          <w:sz w:val="28"/>
          <w:szCs w:val="28"/>
        </w:rPr>
        <w:t xml:space="preserve">, así como </w:t>
      </w:r>
      <w:r w:rsidR="00BF710B">
        <w:rPr>
          <w:rFonts w:ascii="Times New Roman" w:hAnsi="Times New Roman" w:cs="Times New Roman"/>
          <w:sz w:val="28"/>
          <w:szCs w:val="28"/>
        </w:rPr>
        <w:t>en el trabajo conjunto con CICIG</w:t>
      </w:r>
      <w:r w:rsidR="009C6E23">
        <w:rPr>
          <w:rFonts w:ascii="Times New Roman" w:hAnsi="Times New Roman" w:cs="Times New Roman"/>
          <w:sz w:val="28"/>
          <w:szCs w:val="28"/>
        </w:rPr>
        <w:t xml:space="preserve"> </w:t>
      </w:r>
      <w:r w:rsidR="009C6E23" w:rsidRPr="009C6E23">
        <w:rPr>
          <w:rFonts w:ascii="Times New Roman" w:hAnsi="Times New Roman" w:cs="Times New Roman"/>
          <w:sz w:val="28"/>
          <w:szCs w:val="28"/>
        </w:rPr>
        <w:t xml:space="preserve">en áreas claves </w:t>
      </w:r>
      <w:r w:rsidR="00385CE3">
        <w:rPr>
          <w:rFonts w:ascii="Times New Roman" w:hAnsi="Times New Roman" w:cs="Times New Roman"/>
          <w:sz w:val="28"/>
          <w:szCs w:val="28"/>
        </w:rPr>
        <w:t>tales como</w:t>
      </w:r>
      <w:r w:rsidR="009C6E23" w:rsidRPr="009C6E23">
        <w:rPr>
          <w:rFonts w:ascii="Times New Roman" w:hAnsi="Times New Roman" w:cs="Times New Roman"/>
          <w:sz w:val="28"/>
          <w:szCs w:val="28"/>
        </w:rPr>
        <w:t xml:space="preserve"> la Oficina de Protección a Testigos, la Unidad de Análisis Criminal, la Secre</w:t>
      </w:r>
      <w:r w:rsidR="00385CE3">
        <w:rPr>
          <w:rFonts w:ascii="Times New Roman" w:hAnsi="Times New Roman" w:cs="Times New Roman"/>
          <w:sz w:val="28"/>
          <w:szCs w:val="28"/>
        </w:rPr>
        <w:t>taría de Asuntos Internacionales</w:t>
      </w:r>
      <w:r w:rsidR="009C6E23" w:rsidRPr="009C6E23">
        <w:rPr>
          <w:rFonts w:ascii="Times New Roman" w:hAnsi="Times New Roman" w:cs="Times New Roman"/>
          <w:sz w:val="28"/>
          <w:szCs w:val="28"/>
        </w:rPr>
        <w:t>, la Fiscalía Especial contra la Impunidad y el Departamento de S</w:t>
      </w:r>
      <w:r w:rsidR="00BF710B">
        <w:rPr>
          <w:rFonts w:ascii="Times New Roman" w:hAnsi="Times New Roman" w:cs="Times New Roman"/>
          <w:sz w:val="28"/>
          <w:szCs w:val="28"/>
        </w:rPr>
        <w:t>eguridad del Ministerio Público, todo esto además del trabajo conjunto desarrollado en</w:t>
      </w:r>
      <w:r w:rsidR="009C6E23" w:rsidRPr="009C6E23">
        <w:rPr>
          <w:rFonts w:ascii="Times New Roman" w:hAnsi="Times New Roman" w:cs="Times New Roman"/>
          <w:sz w:val="28"/>
          <w:szCs w:val="28"/>
        </w:rPr>
        <w:t xml:space="preserve"> casos de alto impacto</w:t>
      </w:r>
      <w:r w:rsidR="00385C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710B" w:rsidRDefault="009C6E23" w:rsidP="007B7E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BF710B">
        <w:rPr>
          <w:rFonts w:ascii="Times New Roman" w:hAnsi="Times New Roman" w:cs="Times New Roman"/>
          <w:sz w:val="28"/>
          <w:szCs w:val="28"/>
        </w:rPr>
        <w:t>implementación de</w:t>
      </w:r>
      <w:r w:rsidRPr="009C6E23">
        <w:rPr>
          <w:rFonts w:ascii="Times New Roman" w:hAnsi="Times New Roman" w:cs="Times New Roman"/>
          <w:sz w:val="28"/>
          <w:szCs w:val="28"/>
        </w:rPr>
        <w:t xml:space="preserve"> los métodos especiales de investigación establecidos en la Ley contra la Delincuencia</w:t>
      </w:r>
      <w:r w:rsidR="00BF710B">
        <w:rPr>
          <w:rFonts w:ascii="Times New Roman" w:hAnsi="Times New Roman" w:cs="Times New Roman"/>
          <w:sz w:val="28"/>
          <w:szCs w:val="28"/>
        </w:rPr>
        <w:t xml:space="preserve"> Organizada, que incluyen las escuchas telefónicas;</w:t>
      </w:r>
    </w:p>
    <w:p w:rsidR="00BF710B" w:rsidRDefault="009C6E23" w:rsidP="007B7E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23">
        <w:rPr>
          <w:rFonts w:ascii="Times New Roman" w:hAnsi="Times New Roman" w:cs="Times New Roman"/>
          <w:sz w:val="28"/>
          <w:szCs w:val="28"/>
        </w:rPr>
        <w:t xml:space="preserve"> </w:t>
      </w:r>
      <w:r w:rsidR="00BF710B">
        <w:rPr>
          <w:rFonts w:ascii="Times New Roman" w:hAnsi="Times New Roman" w:cs="Times New Roman"/>
          <w:sz w:val="28"/>
          <w:szCs w:val="28"/>
        </w:rPr>
        <w:t xml:space="preserve">La utilización de </w:t>
      </w:r>
      <w:r w:rsidR="00385CE3">
        <w:rPr>
          <w:rFonts w:ascii="Times New Roman" w:hAnsi="Times New Roman" w:cs="Times New Roman"/>
          <w:sz w:val="28"/>
          <w:szCs w:val="28"/>
        </w:rPr>
        <w:t>la prueba científica;</w:t>
      </w:r>
    </w:p>
    <w:p w:rsidR="00CD7870" w:rsidRPr="009C6E23" w:rsidRDefault="00BF710B" w:rsidP="007B7E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establecimiento de</w:t>
      </w:r>
      <w:r w:rsidR="00075A92" w:rsidRPr="009C6E23">
        <w:rPr>
          <w:rFonts w:ascii="Times New Roman" w:hAnsi="Times New Roman" w:cs="Times New Roman"/>
          <w:sz w:val="28"/>
          <w:szCs w:val="28"/>
        </w:rPr>
        <w:t xml:space="preserve"> un nuevo modelo de gestión fiscal por unidades funcionales,</w:t>
      </w:r>
      <w:r w:rsidR="00747E53" w:rsidRPr="009C6E23">
        <w:rPr>
          <w:rFonts w:ascii="Times New Roman" w:hAnsi="Times New Roman" w:cs="Times New Roman"/>
          <w:sz w:val="28"/>
          <w:szCs w:val="28"/>
        </w:rPr>
        <w:t xml:space="preserve"> que permite </w:t>
      </w:r>
      <w:r w:rsidR="005D1B52" w:rsidRPr="009C6E23">
        <w:rPr>
          <w:rFonts w:ascii="Times New Roman" w:hAnsi="Times New Roman" w:cs="Times New Roman"/>
          <w:sz w:val="28"/>
          <w:szCs w:val="28"/>
          <w:lang w:val="es-ES"/>
        </w:rPr>
        <w:t>administrar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eficientemente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los recursos humanos y materiales hacia resultad</w:t>
      </w:r>
      <w:r w:rsidR="00CD7870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os estratégicos, </w:t>
      </w:r>
      <w:r w:rsidR="00777CFD">
        <w:rPr>
          <w:rFonts w:ascii="Times New Roman" w:hAnsi="Times New Roman" w:cs="Times New Roman"/>
          <w:sz w:val="28"/>
          <w:szCs w:val="28"/>
          <w:lang w:val="es-ES"/>
        </w:rPr>
        <w:t>gestionar el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flujo creciente de casos </w:t>
      </w:r>
      <w:r w:rsidR="00777CFD">
        <w:rPr>
          <w:rFonts w:ascii="Times New Roman" w:hAnsi="Times New Roman" w:cs="Times New Roman"/>
          <w:sz w:val="28"/>
          <w:szCs w:val="28"/>
          <w:lang w:val="es-ES"/>
        </w:rPr>
        <w:t>denunciados</w:t>
      </w:r>
      <w:r w:rsidR="00777CFD">
        <w:rPr>
          <w:rFonts w:ascii="Times New Roman" w:hAnsi="Times New Roman" w:cs="Times New Roman"/>
          <w:sz w:val="28"/>
          <w:szCs w:val="28"/>
        </w:rPr>
        <w:t>;</w:t>
      </w:r>
      <w:r w:rsidR="00CD7870" w:rsidRPr="009C6E23">
        <w:rPr>
          <w:rFonts w:ascii="Times New Roman" w:hAnsi="Times New Roman" w:cs="Times New Roman"/>
          <w:sz w:val="28"/>
          <w:szCs w:val="28"/>
        </w:rPr>
        <w:t xml:space="preserve"> o</w:t>
      </w:r>
      <w:proofErr w:type="spellStart"/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>rientar</w:t>
      </w:r>
      <w:proofErr w:type="spellEnd"/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conflictos hacia soluciones posibles</w:t>
      </w:r>
      <w:r w:rsidR="00777CFD">
        <w:rPr>
          <w:rFonts w:ascii="Times New Roman" w:hAnsi="Times New Roman" w:cs="Times New Roman"/>
          <w:sz w:val="28"/>
          <w:szCs w:val="28"/>
          <w:lang w:val="es-ES"/>
        </w:rPr>
        <w:t>;</w:t>
      </w:r>
      <w:r w:rsidR="00CD7870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brindar </w:t>
      </w:r>
      <w:r w:rsidR="00621066">
        <w:rPr>
          <w:rFonts w:ascii="Times New Roman" w:hAnsi="Times New Roman" w:cs="Times New Roman"/>
          <w:sz w:val="28"/>
          <w:szCs w:val="28"/>
          <w:lang w:val="es-ES"/>
        </w:rPr>
        <w:t>tutela efectiva</w:t>
      </w:r>
      <w:r w:rsidR="00CD7870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a la víctima</w:t>
      </w:r>
      <w:r w:rsidR="00CD7870" w:rsidRPr="009C6E23">
        <w:rPr>
          <w:rFonts w:ascii="Times New Roman" w:hAnsi="Times New Roman" w:cs="Times New Roman"/>
          <w:sz w:val="28"/>
          <w:szCs w:val="28"/>
        </w:rPr>
        <w:t xml:space="preserve">, todo lo </w:t>
      </w:r>
      <w:r>
        <w:rPr>
          <w:rFonts w:ascii="Times New Roman" w:hAnsi="Times New Roman" w:cs="Times New Roman"/>
          <w:sz w:val="28"/>
          <w:szCs w:val="28"/>
        </w:rPr>
        <w:t>cual contribuye a</w:t>
      </w:r>
      <w:r w:rsidR="00075A92" w:rsidRPr="009C6E23">
        <w:rPr>
          <w:rFonts w:ascii="Times New Roman" w:hAnsi="Times New Roman" w:cs="Times New Roman"/>
          <w:sz w:val="28"/>
          <w:szCs w:val="28"/>
        </w:rPr>
        <w:t xml:space="preserve"> dar salidas inmediatas a los casos que pueden resolverse mediante una decisión temprana</w:t>
      </w:r>
      <w:r w:rsidR="00CD7870" w:rsidRPr="009C6E23">
        <w:rPr>
          <w:rFonts w:ascii="Times New Roman" w:hAnsi="Times New Roman" w:cs="Times New Roman"/>
          <w:sz w:val="28"/>
          <w:szCs w:val="28"/>
        </w:rPr>
        <w:t xml:space="preserve"> o mediante soluciones alternas, concentrando esfuerzos en los delitos que ameri</w:t>
      </w:r>
      <w:r w:rsidR="00621066">
        <w:rPr>
          <w:rFonts w:ascii="Times New Roman" w:hAnsi="Times New Roman" w:cs="Times New Roman"/>
          <w:sz w:val="28"/>
          <w:szCs w:val="28"/>
        </w:rPr>
        <w:t>tan mayor inversión de recursos;</w:t>
      </w:r>
      <w:r w:rsidR="009E466A" w:rsidRPr="009C6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A0A" w:rsidRPr="009C6E23" w:rsidRDefault="00CD7870" w:rsidP="007B7E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23">
        <w:rPr>
          <w:rFonts w:ascii="Times New Roman" w:hAnsi="Times New Roman" w:cs="Times New Roman"/>
          <w:sz w:val="28"/>
          <w:szCs w:val="28"/>
        </w:rPr>
        <w:t xml:space="preserve"> </w:t>
      </w:r>
      <w:r w:rsidR="00EA3DC1">
        <w:rPr>
          <w:rFonts w:ascii="Times New Roman" w:hAnsi="Times New Roman" w:cs="Times New Roman"/>
          <w:sz w:val="28"/>
          <w:szCs w:val="28"/>
        </w:rPr>
        <w:t>La implementación de l</w:t>
      </w:r>
      <w:r w:rsidR="00075A92" w:rsidRPr="009C6E23">
        <w:rPr>
          <w:rFonts w:ascii="Times New Roman" w:hAnsi="Times New Roman" w:cs="Times New Roman"/>
          <w:sz w:val="28"/>
          <w:szCs w:val="28"/>
        </w:rPr>
        <w:t>a metodología de la persecución penal estratégica</w:t>
      </w:r>
      <w:r w:rsidR="00EA3DC1">
        <w:rPr>
          <w:rFonts w:ascii="Times New Roman" w:hAnsi="Times New Roman" w:cs="Times New Roman"/>
          <w:sz w:val="28"/>
          <w:szCs w:val="28"/>
        </w:rPr>
        <w:t xml:space="preserve"> y el análisis del fenómeno criminal</w:t>
      </w:r>
      <w:r w:rsidR="00075A92" w:rsidRPr="009C6E23">
        <w:rPr>
          <w:rFonts w:ascii="Times New Roman" w:hAnsi="Times New Roman" w:cs="Times New Roman"/>
          <w:sz w:val="28"/>
          <w:szCs w:val="28"/>
        </w:rPr>
        <w:t xml:space="preserve">, cuyo objetivo es </w:t>
      </w:r>
      <w:r w:rsidR="00075A92" w:rsidRPr="009C6E23">
        <w:rPr>
          <w:rFonts w:ascii="Times New Roman" w:hAnsi="Times New Roman" w:cs="Times New Roman"/>
          <w:sz w:val="28"/>
          <w:szCs w:val="28"/>
        </w:rPr>
        <w:lastRenderedPageBreak/>
        <w:t xml:space="preserve">investigar y perseguir redes, estructuras criminales y mercados ilícitos, </w:t>
      </w:r>
      <w:r w:rsidR="00EA3DC1">
        <w:rPr>
          <w:rFonts w:ascii="Times New Roman" w:hAnsi="Times New Roman" w:cs="Times New Roman"/>
          <w:sz w:val="28"/>
          <w:szCs w:val="28"/>
        </w:rPr>
        <w:t>lo que cambia</w:t>
      </w:r>
      <w:r w:rsidR="00075A92" w:rsidRPr="009C6E23">
        <w:rPr>
          <w:rFonts w:ascii="Times New Roman" w:hAnsi="Times New Roman" w:cs="Times New Roman"/>
          <w:sz w:val="28"/>
          <w:szCs w:val="28"/>
        </w:rPr>
        <w:t xml:space="preserve"> la lógica de la persecuci</w:t>
      </w:r>
      <w:r w:rsidRPr="009C6E23">
        <w:rPr>
          <w:rFonts w:ascii="Times New Roman" w:hAnsi="Times New Roman" w:cs="Times New Roman"/>
          <w:sz w:val="28"/>
          <w:szCs w:val="28"/>
        </w:rPr>
        <w:t xml:space="preserve">ón caso por caso, </w:t>
      </w:r>
      <w:r w:rsidR="00EA3DC1">
        <w:rPr>
          <w:rFonts w:ascii="Times New Roman" w:hAnsi="Times New Roman" w:cs="Times New Roman"/>
          <w:sz w:val="28"/>
          <w:szCs w:val="28"/>
        </w:rPr>
        <w:t>y la sustituye</w:t>
      </w:r>
      <w:r w:rsidRPr="009C6E23">
        <w:rPr>
          <w:rFonts w:ascii="Times New Roman" w:hAnsi="Times New Roman" w:cs="Times New Roman"/>
          <w:sz w:val="28"/>
          <w:szCs w:val="28"/>
        </w:rPr>
        <w:t xml:space="preserve"> por la caracterización de fen</w:t>
      </w:r>
      <w:r w:rsidR="000C23AB" w:rsidRPr="009C6E23">
        <w:rPr>
          <w:rFonts w:ascii="Times New Roman" w:hAnsi="Times New Roman" w:cs="Times New Roman"/>
          <w:sz w:val="28"/>
          <w:szCs w:val="28"/>
        </w:rPr>
        <w:t>ómenos criminales y</w:t>
      </w:r>
      <w:r w:rsidRPr="009C6E23">
        <w:rPr>
          <w:rFonts w:ascii="Times New Roman" w:hAnsi="Times New Roman" w:cs="Times New Roman"/>
          <w:sz w:val="28"/>
          <w:szCs w:val="28"/>
        </w:rPr>
        <w:t xml:space="preserve"> la conexión de casos</w:t>
      </w:r>
      <w:r w:rsidR="000C23AB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 para lograr el d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esmantelamiento </w:t>
      </w:r>
      <w:r w:rsidR="000C23AB" w:rsidRPr="009C6E23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="00CC7B31" w:rsidRPr="009C6E23">
        <w:rPr>
          <w:rFonts w:ascii="Times New Roman" w:hAnsi="Times New Roman" w:cs="Times New Roman"/>
          <w:sz w:val="28"/>
          <w:szCs w:val="28"/>
          <w:lang w:val="es-ES"/>
        </w:rPr>
        <w:t>estructuras criminales</w:t>
      </w:r>
      <w:r w:rsidR="00621066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07BA9" w:rsidRPr="009C6E23" w:rsidRDefault="00530B3A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Otras medidas específicas adoptadas para fortalecer la investigaci</w:t>
      </w:r>
      <w:r w:rsidR="007B7E31">
        <w:rPr>
          <w:rFonts w:ascii="Times New Roman" w:hAnsi="Times New Roman" w:cs="Times New Roman"/>
          <w:sz w:val="28"/>
          <w:szCs w:val="28"/>
        </w:rPr>
        <w:t xml:space="preserve">ón y persecución penal </w:t>
      </w:r>
      <w:r w:rsidR="00621066">
        <w:rPr>
          <w:rFonts w:ascii="Times New Roman" w:hAnsi="Times New Roman" w:cs="Times New Roman"/>
          <w:sz w:val="28"/>
          <w:szCs w:val="28"/>
        </w:rPr>
        <w:t xml:space="preserve">en relación con las prioridades </w:t>
      </w:r>
      <w:r w:rsidR="00777CFD">
        <w:rPr>
          <w:rFonts w:ascii="Times New Roman" w:hAnsi="Times New Roman" w:cs="Times New Roman"/>
          <w:sz w:val="28"/>
          <w:szCs w:val="28"/>
        </w:rPr>
        <w:t>antes referidas</w:t>
      </w:r>
      <w:r w:rsidR="00353D5B">
        <w:rPr>
          <w:rFonts w:ascii="Times New Roman" w:hAnsi="Times New Roman" w:cs="Times New Roman"/>
          <w:sz w:val="28"/>
          <w:szCs w:val="28"/>
        </w:rPr>
        <w:t xml:space="preserve">, </w:t>
      </w:r>
      <w:r w:rsidR="007B7E31">
        <w:rPr>
          <w:rFonts w:ascii="Times New Roman" w:hAnsi="Times New Roman" w:cs="Times New Roman"/>
          <w:sz w:val="28"/>
          <w:szCs w:val="28"/>
        </w:rPr>
        <w:t>han sido</w:t>
      </w:r>
      <w:r>
        <w:rPr>
          <w:rFonts w:ascii="Times New Roman" w:hAnsi="Times New Roman" w:cs="Times New Roman"/>
          <w:sz w:val="28"/>
          <w:szCs w:val="28"/>
        </w:rPr>
        <w:t xml:space="preserve"> la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ampliación de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 la cobertura geográfica de la Fiscalía Especializada de la Mujer y Niñe</w:t>
      </w:r>
      <w:r>
        <w:rPr>
          <w:rFonts w:ascii="Times New Roman" w:hAnsi="Times New Roman" w:cs="Times New Roman"/>
          <w:sz w:val="28"/>
          <w:szCs w:val="28"/>
        </w:rPr>
        <w:t xml:space="preserve">z Víctima, que </w:t>
      </w:r>
      <w:r w:rsidR="006F63BB" w:rsidRPr="009C6E23">
        <w:rPr>
          <w:rFonts w:ascii="Times New Roman" w:hAnsi="Times New Roman" w:cs="Times New Roman"/>
          <w:sz w:val="28"/>
          <w:szCs w:val="28"/>
        </w:rPr>
        <w:t>actualmente</w:t>
      </w:r>
      <w:r w:rsidR="00BA0807" w:rsidRPr="009C6E23">
        <w:rPr>
          <w:rFonts w:ascii="Times New Roman" w:hAnsi="Times New Roman" w:cs="Times New Roman"/>
          <w:sz w:val="28"/>
          <w:szCs w:val="28"/>
        </w:rPr>
        <w:t xml:space="preserve"> cuenta con </w:t>
      </w:r>
      <w:r>
        <w:rPr>
          <w:rFonts w:ascii="Times New Roman" w:hAnsi="Times New Roman" w:cs="Times New Roman"/>
          <w:sz w:val="28"/>
          <w:szCs w:val="28"/>
        </w:rPr>
        <w:t xml:space="preserve">siete </w:t>
      </w:r>
      <w:r w:rsidR="00BA0807" w:rsidRPr="009C6E23">
        <w:rPr>
          <w:rFonts w:ascii="Times New Roman" w:hAnsi="Times New Roman" w:cs="Times New Roman"/>
          <w:sz w:val="28"/>
          <w:szCs w:val="28"/>
        </w:rPr>
        <w:t>sedes fiscales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 en </w:t>
      </w:r>
      <w:r>
        <w:rPr>
          <w:rFonts w:ascii="Times New Roman" w:hAnsi="Times New Roman" w:cs="Times New Roman"/>
          <w:sz w:val="28"/>
          <w:szCs w:val="28"/>
        </w:rPr>
        <w:t xml:space="preserve">las </w:t>
      </w:r>
      <w:r w:rsidR="007F61FF" w:rsidRPr="009C6E23">
        <w:rPr>
          <w:rFonts w:ascii="Times New Roman" w:hAnsi="Times New Roman" w:cs="Times New Roman"/>
          <w:sz w:val="28"/>
          <w:szCs w:val="28"/>
        </w:rPr>
        <w:t>áreas de mayor recu</w:t>
      </w:r>
      <w:r w:rsidR="00747E53" w:rsidRPr="009C6E23">
        <w:rPr>
          <w:rFonts w:ascii="Times New Roman" w:hAnsi="Times New Roman" w:cs="Times New Roman"/>
          <w:sz w:val="28"/>
          <w:szCs w:val="28"/>
        </w:rPr>
        <w:t>rrencia de este delito</w:t>
      </w:r>
      <w:r w:rsidR="007B7E31">
        <w:rPr>
          <w:rFonts w:ascii="Times New Roman" w:hAnsi="Times New Roman" w:cs="Times New Roman"/>
          <w:sz w:val="28"/>
          <w:szCs w:val="28"/>
        </w:rPr>
        <w:t xml:space="preserve"> y la implementación d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el Modelo de Atención Integral </w:t>
      </w:r>
      <w:r w:rsidR="0018108C" w:rsidRPr="009C6E23">
        <w:rPr>
          <w:rFonts w:ascii="Times New Roman" w:hAnsi="Times New Roman" w:cs="Times New Roman"/>
          <w:sz w:val="28"/>
          <w:szCs w:val="28"/>
        </w:rPr>
        <w:t xml:space="preserve">de 24 horas </w:t>
      </w:r>
      <w:r w:rsidR="00353D5B">
        <w:rPr>
          <w:rFonts w:ascii="Times New Roman" w:hAnsi="Times New Roman" w:cs="Times New Roman"/>
          <w:sz w:val="28"/>
          <w:szCs w:val="28"/>
        </w:rPr>
        <w:t>que garantiza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 que las víctimas s</w:t>
      </w:r>
      <w:r w:rsidR="00F4747B">
        <w:rPr>
          <w:rFonts w:ascii="Times New Roman" w:hAnsi="Times New Roman" w:cs="Times New Roman"/>
          <w:sz w:val="28"/>
          <w:szCs w:val="28"/>
        </w:rPr>
        <w:t>ean atendid</w:t>
      </w:r>
      <w:r w:rsidR="006F63BB" w:rsidRPr="009C6E23">
        <w:rPr>
          <w:rFonts w:ascii="Times New Roman" w:hAnsi="Times New Roman" w:cs="Times New Roman"/>
          <w:sz w:val="28"/>
          <w:szCs w:val="28"/>
        </w:rPr>
        <w:t>as por fiscales</w:t>
      </w:r>
      <w:r w:rsidR="00F4747B">
        <w:rPr>
          <w:rFonts w:ascii="Times New Roman" w:hAnsi="Times New Roman" w:cs="Times New Roman"/>
          <w:sz w:val="28"/>
          <w:szCs w:val="28"/>
        </w:rPr>
        <w:t>, médicos forenses, psicólogos,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 trabajadores sociales</w:t>
      </w:r>
      <w:r w:rsidR="00F4747B">
        <w:rPr>
          <w:rFonts w:ascii="Times New Roman" w:hAnsi="Times New Roman" w:cs="Times New Roman"/>
          <w:sz w:val="28"/>
          <w:szCs w:val="28"/>
        </w:rPr>
        <w:t xml:space="preserve"> y</w:t>
      </w:r>
      <w:r w:rsidRPr="00530B3A">
        <w:rPr>
          <w:rFonts w:ascii="Times New Roman" w:hAnsi="Times New Roman" w:cs="Times New Roman"/>
          <w:sz w:val="28"/>
          <w:szCs w:val="28"/>
        </w:rPr>
        <w:t xml:space="preserve"> </w:t>
      </w:r>
      <w:r w:rsidRPr="009C6E23">
        <w:rPr>
          <w:rFonts w:ascii="Times New Roman" w:hAnsi="Times New Roman" w:cs="Times New Roman"/>
          <w:sz w:val="28"/>
          <w:szCs w:val="28"/>
        </w:rPr>
        <w:t>jueces</w:t>
      </w:r>
      <w:r w:rsidR="00353D5B" w:rsidRPr="00353D5B">
        <w:rPr>
          <w:rFonts w:ascii="Times New Roman" w:hAnsi="Times New Roman" w:cs="Times New Roman"/>
          <w:sz w:val="28"/>
          <w:szCs w:val="28"/>
        </w:rPr>
        <w:t xml:space="preserve"> </w:t>
      </w:r>
      <w:r w:rsidR="00353D5B" w:rsidRPr="009C6E23">
        <w:rPr>
          <w:rFonts w:ascii="Times New Roman" w:hAnsi="Times New Roman" w:cs="Times New Roman"/>
          <w:sz w:val="28"/>
          <w:szCs w:val="28"/>
        </w:rPr>
        <w:t>en un solo espacio físico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.  </w:t>
      </w:r>
      <w:r w:rsidR="007F61FF" w:rsidRPr="009C6E23">
        <w:rPr>
          <w:rFonts w:ascii="Times New Roman" w:hAnsi="Times New Roman" w:cs="Times New Roman"/>
          <w:sz w:val="28"/>
          <w:szCs w:val="28"/>
        </w:rPr>
        <w:t xml:space="preserve">Más del 90% de las víctimas que denuncian violencia sexual ingresan al sistema de justicia a través del Ministerio Público, por lo que la atención primaria </w:t>
      </w:r>
      <w:r w:rsidR="00715F3F">
        <w:rPr>
          <w:rFonts w:ascii="Times New Roman" w:hAnsi="Times New Roman" w:cs="Times New Roman"/>
          <w:sz w:val="28"/>
          <w:szCs w:val="28"/>
        </w:rPr>
        <w:t>debe ser garantizada</w:t>
      </w:r>
      <w:r w:rsidR="007F61FF" w:rsidRPr="009C6E2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F63BB" w:rsidRPr="009C6E23" w:rsidRDefault="00BA0807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23">
        <w:rPr>
          <w:rFonts w:ascii="Times New Roman" w:hAnsi="Times New Roman" w:cs="Times New Roman"/>
          <w:sz w:val="28"/>
          <w:szCs w:val="28"/>
        </w:rPr>
        <w:t>Asimismo, p</w:t>
      </w:r>
      <w:r w:rsidR="006F63BB" w:rsidRPr="009C6E23">
        <w:rPr>
          <w:rFonts w:ascii="Times New Roman" w:hAnsi="Times New Roman" w:cs="Times New Roman"/>
          <w:sz w:val="28"/>
          <w:szCs w:val="28"/>
        </w:rPr>
        <w:t>ara dar cumplimiento a la Ley contra la violencia sexual, explotación y trata de personas, mediante acuerdo 5-2012</w:t>
      </w:r>
      <w:r w:rsidR="00715F3F">
        <w:rPr>
          <w:rFonts w:ascii="Times New Roman" w:hAnsi="Times New Roman" w:cs="Times New Roman"/>
          <w:sz w:val="28"/>
          <w:szCs w:val="28"/>
        </w:rPr>
        <w:t>,</w:t>
      </w:r>
      <w:r w:rsidR="006F63BB" w:rsidRPr="009C6E23">
        <w:rPr>
          <w:rFonts w:ascii="Times New Roman" w:hAnsi="Times New Roman" w:cs="Times New Roman"/>
          <w:sz w:val="28"/>
          <w:szCs w:val="28"/>
        </w:rPr>
        <w:t xml:space="preserve"> el Ministerio Público creó la Fiscalía de Sección </w:t>
      </w:r>
      <w:r w:rsidR="006F63BB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Fiscalía de Trata de Personas con su respectivo modelo </w:t>
      </w:r>
      <w:r w:rsidR="00530B3A">
        <w:rPr>
          <w:rFonts w:ascii="Times New Roman" w:hAnsi="Times New Roman" w:cs="Times New Roman"/>
          <w:sz w:val="28"/>
          <w:szCs w:val="28"/>
          <w:lang w:val="es-MX"/>
        </w:rPr>
        <w:t>de abordaje</w:t>
      </w:r>
      <w:r w:rsidR="006F63BB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de casos y de atención a la víctima.</w:t>
      </w:r>
      <w:r w:rsidR="007F61FF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</w:p>
    <w:p w:rsidR="006F63BB" w:rsidRPr="009C6E23" w:rsidRDefault="00207BA9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23">
        <w:rPr>
          <w:rFonts w:ascii="Times New Roman" w:hAnsi="Times New Roman" w:cs="Times New Roman"/>
          <w:sz w:val="28"/>
          <w:szCs w:val="28"/>
        </w:rPr>
        <w:lastRenderedPageBreak/>
        <w:t xml:space="preserve">El compromiso interinstitucional para combatir los delitos relacionados con violencia de género, se expresa también en la reciente </w:t>
      </w:r>
      <w:r w:rsidR="007B7E31">
        <w:rPr>
          <w:rFonts w:ascii="Times New Roman" w:hAnsi="Times New Roman" w:cs="Times New Roman"/>
          <w:sz w:val="28"/>
          <w:szCs w:val="28"/>
        </w:rPr>
        <w:t>creación de</w:t>
      </w:r>
      <w:r w:rsidRPr="009C6E23">
        <w:rPr>
          <w:rFonts w:ascii="Times New Roman" w:hAnsi="Times New Roman" w:cs="Times New Roman"/>
          <w:sz w:val="28"/>
          <w:szCs w:val="28"/>
        </w:rPr>
        <w:t xml:space="preserve"> un juzgado de 24 horas especializado en la materia, que conocerá </w:t>
      </w:r>
      <w:r w:rsidR="007B7E31">
        <w:rPr>
          <w:rFonts w:ascii="Times New Roman" w:hAnsi="Times New Roman" w:cs="Times New Roman"/>
          <w:sz w:val="28"/>
          <w:szCs w:val="28"/>
        </w:rPr>
        <w:t>también</w:t>
      </w:r>
      <w:r w:rsidRPr="009C6E23">
        <w:rPr>
          <w:rFonts w:ascii="Times New Roman" w:hAnsi="Times New Roman" w:cs="Times New Roman"/>
          <w:sz w:val="28"/>
          <w:szCs w:val="28"/>
        </w:rPr>
        <w:t xml:space="preserve"> de los delitos relacionados con trata de personas y atenderá dilige</w:t>
      </w:r>
      <w:r w:rsidR="00BA0807" w:rsidRPr="009C6E23">
        <w:rPr>
          <w:rFonts w:ascii="Times New Roman" w:hAnsi="Times New Roman" w:cs="Times New Roman"/>
          <w:sz w:val="28"/>
          <w:szCs w:val="28"/>
        </w:rPr>
        <w:t xml:space="preserve">ncias urgentes de investigación.  </w:t>
      </w:r>
      <w:r w:rsidR="00084BA0" w:rsidRPr="009C6E23">
        <w:rPr>
          <w:rFonts w:ascii="Times New Roman" w:hAnsi="Times New Roman" w:cs="Times New Roman"/>
          <w:sz w:val="28"/>
          <w:szCs w:val="28"/>
        </w:rPr>
        <w:t>Esta acción demuestra que las medidas adoptadas para garantizar el acceso a la justicia para las mujeres víctimas de violencia continúan siendo prioritarias en la agenda del Estado de Guatemala.</w:t>
      </w:r>
      <w:r w:rsidR="0072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59" w:rsidRPr="009C6E23" w:rsidRDefault="00E4127A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materia de justicia de transición entre 2011 y 2012 se logró la condena de 11 personas</w:t>
      </w:r>
      <w:r w:rsidR="003F2F7F">
        <w:rPr>
          <w:rFonts w:ascii="Times New Roman" w:hAnsi="Times New Roman" w:cs="Times New Roman"/>
          <w:sz w:val="28"/>
          <w:szCs w:val="28"/>
        </w:rPr>
        <w:t xml:space="preserve">, entre ellas, la de seis personas por la masacre de </w:t>
      </w:r>
      <w:r w:rsidR="008440D2">
        <w:rPr>
          <w:rFonts w:ascii="Times New Roman" w:hAnsi="Times New Roman" w:cs="Times New Roman"/>
          <w:sz w:val="28"/>
          <w:szCs w:val="28"/>
        </w:rPr>
        <w:t>Dos Erres, en las que murieron 201 víctimas</w:t>
      </w:r>
      <w:r>
        <w:rPr>
          <w:rFonts w:ascii="Times New Roman" w:hAnsi="Times New Roman" w:cs="Times New Roman"/>
          <w:sz w:val="28"/>
          <w:szCs w:val="28"/>
        </w:rPr>
        <w:t xml:space="preserve">. En </w:t>
      </w:r>
      <w:r w:rsidR="002A62BD">
        <w:rPr>
          <w:rFonts w:ascii="Times New Roman" w:hAnsi="Times New Roman" w:cs="Times New Roman"/>
          <w:sz w:val="28"/>
          <w:szCs w:val="28"/>
        </w:rPr>
        <w:t>los casos de justicia de transición</w:t>
      </w:r>
      <w:r>
        <w:rPr>
          <w:rFonts w:ascii="Times New Roman" w:hAnsi="Times New Roman" w:cs="Times New Roman"/>
          <w:sz w:val="28"/>
          <w:szCs w:val="28"/>
        </w:rPr>
        <w:t xml:space="preserve"> se continúa trabajando conjuntamente con 14 organizaciones sociales que desempeñan el rol de querellant</w:t>
      </w:r>
      <w:r w:rsidR="00E176A1">
        <w:rPr>
          <w:rFonts w:ascii="Times New Roman" w:hAnsi="Times New Roman" w:cs="Times New Roman"/>
          <w:sz w:val="28"/>
          <w:szCs w:val="28"/>
        </w:rPr>
        <w:t xml:space="preserve">es adhesivos en los procesos. </w:t>
      </w:r>
      <w:r w:rsidR="008440D2">
        <w:rPr>
          <w:rFonts w:ascii="Times New Roman" w:hAnsi="Times New Roman" w:cs="Times New Roman"/>
          <w:sz w:val="28"/>
          <w:szCs w:val="28"/>
        </w:rPr>
        <w:t>Especial atención merece</w:t>
      </w:r>
      <w:r>
        <w:rPr>
          <w:rFonts w:ascii="Times New Roman" w:hAnsi="Times New Roman" w:cs="Times New Roman"/>
          <w:sz w:val="28"/>
          <w:szCs w:val="28"/>
        </w:rPr>
        <w:t xml:space="preserve"> la realización de un </w:t>
      </w:r>
      <w:r>
        <w:rPr>
          <w:rFonts w:ascii="Times New Roman" w:hAnsi="Times New Roman" w:cs="Times New Roman"/>
          <w:bCs/>
          <w:sz w:val="28"/>
          <w:szCs w:val="28"/>
          <w:lang w:val="es-MX"/>
        </w:rPr>
        <w:t xml:space="preserve">anticipo de prueba </w:t>
      </w:r>
      <w:r w:rsidR="00715F3F">
        <w:rPr>
          <w:rFonts w:ascii="Times New Roman" w:hAnsi="Times New Roman" w:cs="Times New Roman"/>
          <w:bCs/>
          <w:sz w:val="28"/>
          <w:szCs w:val="28"/>
          <w:lang w:val="es-MX"/>
        </w:rPr>
        <w:t>en</w:t>
      </w:r>
      <w:r>
        <w:rPr>
          <w:rFonts w:ascii="Times New Roman" w:hAnsi="Times New Roman" w:cs="Times New Roman"/>
          <w:bCs/>
          <w:sz w:val="28"/>
          <w:szCs w:val="28"/>
          <w:lang w:val="es-MX"/>
        </w:rPr>
        <w:t xml:space="preserve"> septiembre 2012</w:t>
      </w:r>
      <w:r w:rsidR="00715F3F">
        <w:rPr>
          <w:rFonts w:ascii="Times New Roman" w:hAnsi="Times New Roman" w:cs="Times New Roman"/>
          <w:bCs/>
          <w:sz w:val="28"/>
          <w:szCs w:val="28"/>
          <w:lang w:val="es-MX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s-MX"/>
        </w:rPr>
        <w:t xml:space="preserve"> por medio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Pr="00E176A1">
        <w:rPr>
          <w:rFonts w:ascii="Times New Roman" w:hAnsi="Times New Roman" w:cs="Times New Roman"/>
          <w:bCs/>
          <w:sz w:val="28"/>
          <w:szCs w:val="28"/>
          <w:lang w:val="es-MX"/>
        </w:rPr>
        <w:t>del cual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18 mujeres testificaron en casos de violencia sexual durante el conflicto armado interno. </w:t>
      </w:r>
      <w:r>
        <w:rPr>
          <w:rFonts w:ascii="Times New Roman" w:hAnsi="Times New Roman" w:cs="Times New Roman"/>
          <w:sz w:val="28"/>
          <w:szCs w:val="28"/>
        </w:rPr>
        <w:t xml:space="preserve">Entre las directrices más recientes para el abordaje de </w:t>
      </w:r>
      <w:r w:rsidR="002A62BD">
        <w:rPr>
          <w:rFonts w:ascii="Times New Roman" w:hAnsi="Times New Roman" w:cs="Times New Roman"/>
          <w:sz w:val="28"/>
          <w:szCs w:val="28"/>
        </w:rPr>
        <w:t>estos</w:t>
      </w:r>
      <w:r>
        <w:rPr>
          <w:rFonts w:ascii="Times New Roman" w:hAnsi="Times New Roman" w:cs="Times New Roman"/>
          <w:sz w:val="28"/>
          <w:szCs w:val="28"/>
        </w:rPr>
        <w:t xml:space="preserve"> casos se encuentra la emisión de la Instrucción General de la Fiscal General No. </w:t>
      </w:r>
      <w:r w:rsidR="00715F3F">
        <w:rPr>
          <w:rFonts w:ascii="Times New Roman" w:hAnsi="Times New Roman" w:cs="Times New Roman"/>
          <w:sz w:val="28"/>
          <w:szCs w:val="28"/>
        </w:rPr>
        <w:t>2-2012</w:t>
      </w:r>
      <w:r>
        <w:rPr>
          <w:rFonts w:ascii="Times New Roman" w:hAnsi="Times New Roman" w:cs="Times New Roman"/>
          <w:sz w:val="28"/>
          <w:szCs w:val="28"/>
        </w:rPr>
        <w:t xml:space="preserve"> relativa al abordaje de casos de violencia sexual en el marco del conflicto armado interno.</w:t>
      </w:r>
    </w:p>
    <w:p w:rsidR="00C562CB" w:rsidRPr="009C6E23" w:rsidRDefault="00280259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23">
        <w:rPr>
          <w:rFonts w:ascii="Times New Roman" w:hAnsi="Times New Roman" w:cs="Times New Roman"/>
          <w:sz w:val="28"/>
          <w:szCs w:val="28"/>
        </w:rPr>
        <w:t xml:space="preserve">En 2011 fue creada dentro de la Fiscalía de Derechos Humanos, </w:t>
      </w:r>
      <w:r w:rsidR="005658CC">
        <w:rPr>
          <w:rFonts w:ascii="Times New Roman" w:hAnsi="Times New Roman" w:cs="Times New Roman"/>
          <w:sz w:val="28"/>
          <w:szCs w:val="28"/>
        </w:rPr>
        <w:t xml:space="preserve"> la unidad fiscal </w:t>
      </w:r>
      <w:r w:rsidRPr="009C6E23">
        <w:rPr>
          <w:rFonts w:ascii="Times New Roman" w:hAnsi="Times New Roman" w:cs="Times New Roman"/>
          <w:sz w:val="28"/>
          <w:szCs w:val="28"/>
        </w:rPr>
        <w:t xml:space="preserve">que conoce de </w:t>
      </w:r>
      <w:r w:rsidR="002A62BD">
        <w:rPr>
          <w:rFonts w:ascii="Times New Roman" w:hAnsi="Times New Roman" w:cs="Times New Roman"/>
          <w:sz w:val="28"/>
          <w:szCs w:val="28"/>
        </w:rPr>
        <w:t xml:space="preserve">violaciones a derechos humanos del presente </w:t>
      </w:r>
      <w:r w:rsidR="002A62BD">
        <w:rPr>
          <w:rFonts w:ascii="Times New Roman" w:hAnsi="Times New Roman" w:cs="Times New Roman"/>
          <w:sz w:val="28"/>
          <w:szCs w:val="28"/>
        </w:rPr>
        <w:lastRenderedPageBreak/>
        <w:t xml:space="preserve">cometidos por funcionarios públicos.  Esta unidad </w:t>
      </w:r>
      <w:r w:rsidR="00715F3F">
        <w:rPr>
          <w:rFonts w:ascii="Times New Roman" w:hAnsi="Times New Roman" w:cs="Times New Roman"/>
          <w:sz w:val="28"/>
          <w:szCs w:val="28"/>
        </w:rPr>
        <w:t xml:space="preserve">logró durante 2012, tres condenas relevantes en casos de asesinatos de operadores de justicia: dos asesinatos de auxiliares fiscales y el asesinato de un Juez de Primera Instancia Civil de Petén. Una de estas sentencias se condenó a una estructura criminal integrada por 12 personas pertenecientes al grupo delictivo Los Zetas.  </w:t>
      </w:r>
      <w:r w:rsidR="00546A62">
        <w:rPr>
          <w:rFonts w:ascii="Times New Roman" w:hAnsi="Times New Roman" w:cs="Times New Roman"/>
          <w:sz w:val="28"/>
          <w:szCs w:val="28"/>
        </w:rPr>
        <w:t xml:space="preserve">En relación con defensores de derechos humanos, </w:t>
      </w:r>
      <w:r w:rsidR="00715F3F">
        <w:rPr>
          <w:rFonts w:ascii="Times New Roman" w:hAnsi="Times New Roman" w:cs="Times New Roman"/>
          <w:sz w:val="28"/>
          <w:szCs w:val="28"/>
        </w:rPr>
        <w:t xml:space="preserve">como ejemplo de los logros alcanzados, se menciona que </w:t>
      </w:r>
      <w:r w:rsidR="00546A62">
        <w:rPr>
          <w:rFonts w:ascii="Times New Roman" w:hAnsi="Times New Roman" w:cs="Times New Roman"/>
          <w:sz w:val="28"/>
          <w:szCs w:val="28"/>
        </w:rPr>
        <w:t>en 2012 se han logrado siete sentencias condenatorias –incluyendo una sentencia por caso de tortura, ejecución extraj</w:t>
      </w:r>
      <w:r w:rsidR="00715F3F">
        <w:rPr>
          <w:rFonts w:ascii="Times New Roman" w:hAnsi="Times New Roman" w:cs="Times New Roman"/>
          <w:sz w:val="28"/>
          <w:szCs w:val="28"/>
        </w:rPr>
        <w:t xml:space="preserve">udicial y secuestro -; y en relación con ataques </w:t>
      </w:r>
      <w:r w:rsidR="00546A62">
        <w:rPr>
          <w:rFonts w:ascii="Times New Roman" w:hAnsi="Times New Roman" w:cs="Times New Roman"/>
          <w:sz w:val="28"/>
          <w:szCs w:val="28"/>
        </w:rPr>
        <w:t>a periodistas,  durante 2012 se han logrado tres sentencias condenatorias por delitos de coacción, amenazas y discriminación.</w:t>
      </w:r>
    </w:p>
    <w:p w:rsidR="001F251E" w:rsidRDefault="00715F3F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</w:rPr>
        <w:t>Asimismo en</w:t>
      </w:r>
      <w:r w:rsidR="00C562CB" w:rsidRPr="009C6E23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" w:hAnsi="Times New Roman" w:cs="Times New Roman"/>
          <w:sz w:val="28"/>
          <w:szCs w:val="28"/>
        </w:rPr>
        <w:t xml:space="preserve">se estableció </w:t>
      </w:r>
      <w:r w:rsidR="00C562CB" w:rsidRPr="009C6E23">
        <w:rPr>
          <w:rFonts w:ascii="Times New Roman" w:hAnsi="Times New Roman" w:cs="Times New Roman"/>
          <w:sz w:val="28"/>
          <w:szCs w:val="28"/>
        </w:rPr>
        <w:t xml:space="preserve">una unidad fiscal específica para conocer </w:t>
      </w:r>
      <w:r w:rsidR="00546A62">
        <w:rPr>
          <w:rFonts w:ascii="Times New Roman" w:hAnsi="Times New Roman" w:cs="Times New Roman"/>
          <w:sz w:val="28"/>
          <w:szCs w:val="28"/>
        </w:rPr>
        <w:t>delitos</w:t>
      </w:r>
      <w:r w:rsidR="00C562CB" w:rsidRPr="009C6E23">
        <w:rPr>
          <w:rFonts w:ascii="Times New Roman" w:hAnsi="Times New Roman" w:cs="Times New Roman"/>
          <w:sz w:val="28"/>
          <w:szCs w:val="28"/>
        </w:rPr>
        <w:t xml:space="preserve"> cometidos contra sindicalistas</w:t>
      </w:r>
      <w:r w:rsidR="005F66A5">
        <w:rPr>
          <w:rFonts w:ascii="Times New Roman" w:hAnsi="Times New Roman" w:cs="Times New Roman"/>
          <w:sz w:val="28"/>
          <w:szCs w:val="28"/>
        </w:rPr>
        <w:t>.</w:t>
      </w:r>
      <w:r w:rsidR="00C562CB" w:rsidRPr="009C6E23">
        <w:rPr>
          <w:rFonts w:ascii="Times New Roman" w:hAnsi="Times New Roman" w:cs="Times New Roman"/>
          <w:sz w:val="28"/>
          <w:szCs w:val="28"/>
        </w:rPr>
        <w:t xml:space="preserve">  </w:t>
      </w:r>
      <w:r w:rsidR="005658CC">
        <w:rPr>
          <w:rFonts w:ascii="Times New Roman" w:hAnsi="Times New Roman" w:cs="Times New Roman"/>
          <w:sz w:val="28"/>
          <w:szCs w:val="28"/>
        </w:rPr>
        <w:t>Asimismo</w:t>
      </w:r>
      <w:r w:rsidR="00C562CB" w:rsidRPr="009C6E23">
        <w:rPr>
          <w:rFonts w:ascii="Times New Roman" w:hAnsi="Times New Roman" w:cs="Times New Roman"/>
          <w:sz w:val="28"/>
          <w:szCs w:val="28"/>
        </w:rPr>
        <w:t>, el MP</w:t>
      </w:r>
      <w:r w:rsidR="003B771C" w:rsidRPr="009C6E23">
        <w:rPr>
          <w:rFonts w:ascii="Times New Roman" w:hAnsi="Times New Roman" w:cs="Times New Roman"/>
          <w:sz w:val="28"/>
          <w:szCs w:val="28"/>
        </w:rPr>
        <w:t xml:space="preserve"> forma parte de la Mesa </w:t>
      </w:r>
      <w:r w:rsidR="00A90784">
        <w:rPr>
          <w:rFonts w:ascii="Times New Roman" w:hAnsi="Times New Roman" w:cs="Times New Roman"/>
          <w:sz w:val="28"/>
          <w:szCs w:val="28"/>
        </w:rPr>
        <w:t>integrada</w:t>
      </w:r>
      <w:r w:rsidR="00665893" w:rsidRPr="009C6E23">
        <w:rPr>
          <w:rFonts w:ascii="Times New Roman" w:hAnsi="Times New Roman" w:cs="Times New Roman"/>
          <w:sz w:val="28"/>
          <w:szCs w:val="28"/>
        </w:rPr>
        <w:t xml:space="preserve"> por </w:t>
      </w:r>
      <w:r w:rsidR="005F66A5">
        <w:rPr>
          <w:rFonts w:ascii="Times New Roman" w:hAnsi="Times New Roman" w:cs="Times New Roman"/>
          <w:sz w:val="28"/>
          <w:szCs w:val="28"/>
        </w:rPr>
        <w:t xml:space="preserve">el Ministerio de Trabajo, el </w:t>
      </w:r>
      <w:r w:rsidR="003B771C" w:rsidRPr="009C6E23">
        <w:rPr>
          <w:rFonts w:ascii="Times New Roman" w:hAnsi="Times New Roman" w:cs="Times New Roman"/>
          <w:sz w:val="28"/>
          <w:szCs w:val="28"/>
        </w:rPr>
        <w:t xml:space="preserve">Organismo Judicial y  </w:t>
      </w:r>
      <w:r w:rsidR="005F66A5">
        <w:rPr>
          <w:rFonts w:ascii="Times New Roman" w:hAnsi="Times New Roman" w:cs="Times New Roman"/>
          <w:sz w:val="28"/>
          <w:szCs w:val="28"/>
        </w:rPr>
        <w:t>e</w:t>
      </w:r>
      <w:r w:rsidR="00665893" w:rsidRPr="009C6E23">
        <w:rPr>
          <w:rFonts w:ascii="Times New Roman" w:hAnsi="Times New Roman" w:cs="Times New Roman"/>
          <w:sz w:val="28"/>
          <w:szCs w:val="28"/>
        </w:rPr>
        <w:t xml:space="preserve">l </w:t>
      </w:r>
      <w:r w:rsidR="003B771C" w:rsidRPr="009C6E23">
        <w:rPr>
          <w:rFonts w:ascii="Times New Roman" w:hAnsi="Times New Roman" w:cs="Times New Roman"/>
          <w:sz w:val="28"/>
          <w:szCs w:val="28"/>
        </w:rPr>
        <w:t xml:space="preserve">Ministerio de Relaciones Exteriores para dar seguimiento de la Aplicación del Convenio 87 de la OIT.  </w:t>
      </w:r>
      <w:r w:rsidR="00A90784">
        <w:rPr>
          <w:rFonts w:ascii="Times New Roman" w:hAnsi="Times New Roman" w:cs="Times New Roman"/>
          <w:sz w:val="28"/>
          <w:szCs w:val="28"/>
        </w:rPr>
        <w:t>Para el abordaje de los casos de muertes a sindicalistas, s</w:t>
      </w:r>
      <w:r w:rsidR="005658CC">
        <w:rPr>
          <w:rFonts w:ascii="Times New Roman" w:hAnsi="Times New Roman" w:cs="Times New Roman"/>
          <w:sz w:val="28"/>
          <w:szCs w:val="28"/>
        </w:rPr>
        <w:t>e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665893" w:rsidRPr="009C6E23">
        <w:rPr>
          <w:rFonts w:ascii="Times New Roman" w:hAnsi="Times New Roman" w:cs="Times New Roman"/>
          <w:sz w:val="28"/>
          <w:szCs w:val="28"/>
          <w:lang w:val="es-MX"/>
        </w:rPr>
        <w:t>realizó un</w:t>
      </w:r>
      <w:r w:rsidR="00475C95">
        <w:rPr>
          <w:rFonts w:ascii="Times New Roman" w:hAnsi="Times New Roman" w:cs="Times New Roman"/>
          <w:sz w:val="28"/>
          <w:szCs w:val="28"/>
          <w:lang w:val="es-MX"/>
        </w:rPr>
        <w:t xml:space="preserve"> estudio integral de 58 casos y</w:t>
      </w:r>
      <w:r w:rsidR="0081152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5658CC">
        <w:rPr>
          <w:rFonts w:ascii="Times New Roman" w:hAnsi="Times New Roman" w:cs="Times New Roman"/>
          <w:sz w:val="28"/>
          <w:szCs w:val="28"/>
          <w:lang w:val="es-MX"/>
        </w:rPr>
        <w:t xml:space="preserve">se </w:t>
      </w:r>
      <w:r w:rsidR="00665893" w:rsidRPr="009C6E23">
        <w:rPr>
          <w:rFonts w:ascii="Times New Roman" w:hAnsi="Times New Roman" w:cs="Times New Roman"/>
          <w:sz w:val="28"/>
          <w:szCs w:val="28"/>
          <w:lang w:val="es-MX"/>
        </w:rPr>
        <w:t>procedió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a su sistematización y categorizació</w:t>
      </w:r>
      <w:r w:rsidR="00F07F84" w:rsidRPr="009C6E23">
        <w:rPr>
          <w:rFonts w:ascii="Times New Roman" w:hAnsi="Times New Roman" w:cs="Times New Roman"/>
          <w:sz w:val="28"/>
          <w:szCs w:val="28"/>
          <w:lang w:val="es-MX"/>
        </w:rPr>
        <w:t>n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de acuerdo a varios criterios iniciando por la filiación gremial de las víctimas. Se hizo énfasis en la determinación de si entre las víctimas existían nexos comunes que los convirtieran en un ob</w:t>
      </w:r>
      <w:r w:rsidR="00665893" w:rsidRPr="009C6E23">
        <w:rPr>
          <w:rFonts w:ascii="Times New Roman" w:hAnsi="Times New Roman" w:cs="Times New Roman"/>
          <w:sz w:val="28"/>
          <w:szCs w:val="28"/>
          <w:lang w:val="es-MX"/>
        </w:rPr>
        <w:t>jetivo de persecución sindical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.  Se reconstruyó la hipótesis en cada caso, 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lastRenderedPageBreak/>
        <w:t xml:space="preserve">para establecer si </w:t>
      </w:r>
      <w:r w:rsidR="00665893" w:rsidRPr="009C6E23">
        <w:rPr>
          <w:rFonts w:ascii="Times New Roman" w:hAnsi="Times New Roman" w:cs="Times New Roman"/>
          <w:sz w:val="28"/>
          <w:szCs w:val="28"/>
          <w:lang w:val="es-MX"/>
        </w:rPr>
        <w:t>éstos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respondían a un patrón común de eliminación de líderes sindicales, si se trataba de muertes aisladas basadas en represalias </w:t>
      </w:r>
      <w:r w:rsidR="00665893" w:rsidRPr="009C6E23">
        <w:rPr>
          <w:rFonts w:ascii="Times New Roman" w:hAnsi="Times New Roman" w:cs="Times New Roman"/>
          <w:sz w:val="28"/>
          <w:szCs w:val="28"/>
          <w:lang w:val="es-MX"/>
        </w:rPr>
        <w:t>específicas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665893" w:rsidRPr="009C6E23">
        <w:rPr>
          <w:rFonts w:ascii="Times New Roman" w:hAnsi="Times New Roman" w:cs="Times New Roman"/>
          <w:sz w:val="28"/>
          <w:szCs w:val="28"/>
          <w:lang w:val="es-MX"/>
        </w:rPr>
        <w:t>por</w:t>
      </w:r>
      <w:r w:rsidR="003B771C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reivindicaciones laborales en centros de trabajo, o si por el contrario se trataba de acciones motivadas por factores distintos a la persecución sindical. Finalmente se replantearon cada una de las investigaciones y se agilizaron las diligencias necesarias para su pronta resolución.  </w:t>
      </w:r>
      <w:r w:rsidR="00127FDF">
        <w:rPr>
          <w:rFonts w:ascii="Times New Roman" w:hAnsi="Times New Roman" w:cs="Times New Roman"/>
          <w:sz w:val="28"/>
          <w:szCs w:val="28"/>
          <w:lang w:val="es-MX"/>
        </w:rPr>
        <w:t xml:space="preserve">De esta forma se adoptan medidas específicas para garantizar avances en la investigación de los casos más graves de ataques contra sindicalistas.  </w:t>
      </w:r>
    </w:p>
    <w:p w:rsidR="0018108C" w:rsidRPr="009C6E23" w:rsidRDefault="0018108C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23">
        <w:rPr>
          <w:rFonts w:ascii="Times New Roman" w:hAnsi="Times New Roman" w:cs="Times New Roman"/>
          <w:sz w:val="28"/>
          <w:szCs w:val="28"/>
        </w:rPr>
        <w:t xml:space="preserve">Durante 2012 el Ministerio Público asumió el compromiso de duplicar el número de intérpretes para atender en el propio idioma a las personas pertenecientes a pueblos indígenas.  De esta cuenta, hoy </w:t>
      </w:r>
      <w:r w:rsidR="001F251E">
        <w:rPr>
          <w:rFonts w:ascii="Times New Roman" w:hAnsi="Times New Roman" w:cs="Times New Roman"/>
          <w:sz w:val="28"/>
          <w:szCs w:val="28"/>
        </w:rPr>
        <w:t xml:space="preserve">se cuenta con </w:t>
      </w:r>
      <w:r w:rsidR="00127FDF">
        <w:rPr>
          <w:rFonts w:ascii="Times New Roman" w:hAnsi="Times New Roman" w:cs="Times New Roman"/>
          <w:sz w:val="28"/>
          <w:szCs w:val="28"/>
        </w:rPr>
        <w:t xml:space="preserve">40 </w:t>
      </w:r>
      <w:r w:rsidR="001F251E">
        <w:rPr>
          <w:rFonts w:ascii="Times New Roman" w:hAnsi="Times New Roman" w:cs="Times New Roman"/>
          <w:sz w:val="28"/>
          <w:szCs w:val="28"/>
        </w:rPr>
        <w:t xml:space="preserve">plazas de </w:t>
      </w:r>
      <w:proofErr w:type="spellStart"/>
      <w:r w:rsidRPr="009C6E23">
        <w:rPr>
          <w:rFonts w:ascii="Times New Roman" w:hAnsi="Times New Roman" w:cs="Times New Roman"/>
          <w:sz w:val="28"/>
          <w:szCs w:val="28"/>
        </w:rPr>
        <w:t>intérpretres</w:t>
      </w:r>
      <w:proofErr w:type="spellEnd"/>
      <w:r w:rsidRPr="009C6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E23">
        <w:rPr>
          <w:rFonts w:ascii="Times New Roman" w:hAnsi="Times New Roman" w:cs="Times New Roman"/>
          <w:sz w:val="28"/>
          <w:szCs w:val="28"/>
        </w:rPr>
        <w:t>mayahablantes</w:t>
      </w:r>
      <w:proofErr w:type="spellEnd"/>
      <w:r w:rsidR="00127FDF">
        <w:rPr>
          <w:rFonts w:ascii="Times New Roman" w:hAnsi="Times New Roman" w:cs="Times New Roman"/>
          <w:sz w:val="28"/>
          <w:szCs w:val="28"/>
        </w:rPr>
        <w:t xml:space="preserve"> que seguirán en progresivo aumento</w:t>
      </w:r>
      <w:r w:rsidRPr="009C6E23">
        <w:rPr>
          <w:rFonts w:ascii="Times New Roman" w:hAnsi="Times New Roman" w:cs="Times New Roman"/>
          <w:sz w:val="28"/>
          <w:szCs w:val="28"/>
        </w:rPr>
        <w:t>.</w:t>
      </w:r>
      <w:r w:rsidR="005D1B52" w:rsidRPr="009C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B0" w:rsidRPr="009C6E23" w:rsidRDefault="00B254C3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Considerando que la justicia es elemento fundamental para la construcción del Estado de Derecho y de la paz, e</w:t>
      </w:r>
      <w:r w:rsidR="00FC28CF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l Ministerio Público </w:t>
      </w:r>
      <w:r w:rsidR="00985C67">
        <w:rPr>
          <w:rFonts w:ascii="Times New Roman" w:hAnsi="Times New Roman" w:cs="Times New Roman"/>
          <w:sz w:val="28"/>
          <w:szCs w:val="28"/>
          <w:lang w:val="es-MX"/>
        </w:rPr>
        <w:t>como ente investigador y persecutor penal del Estado</w:t>
      </w:r>
      <w:r w:rsidR="006E456D">
        <w:rPr>
          <w:rFonts w:ascii="Times New Roman" w:hAnsi="Times New Roman" w:cs="Times New Roman"/>
          <w:sz w:val="28"/>
          <w:szCs w:val="28"/>
          <w:lang w:val="es-MX"/>
        </w:rPr>
        <w:t xml:space="preserve"> de Guatemala</w:t>
      </w:r>
      <w:r w:rsidR="00985C67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6E456D">
        <w:rPr>
          <w:rFonts w:ascii="Times New Roman" w:hAnsi="Times New Roman" w:cs="Times New Roman"/>
          <w:sz w:val="28"/>
          <w:szCs w:val="28"/>
          <w:lang w:val="es-MX"/>
        </w:rPr>
        <w:t>mantiene</w:t>
      </w:r>
      <w:r w:rsidR="00FC28CF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985C67">
        <w:rPr>
          <w:rFonts w:ascii="Times New Roman" w:hAnsi="Times New Roman" w:cs="Times New Roman"/>
          <w:sz w:val="28"/>
          <w:szCs w:val="28"/>
          <w:lang w:val="es-MX"/>
        </w:rPr>
        <w:t>el compromiso de cumplir objetivamente con el mandato de investigar y perseguir penalmente los casos del pasado y del presente para</w:t>
      </w:r>
      <w:r w:rsidR="00FC28CF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3E3B1E">
        <w:rPr>
          <w:rFonts w:ascii="Times New Roman" w:hAnsi="Times New Roman" w:cs="Times New Roman"/>
          <w:sz w:val="28"/>
          <w:szCs w:val="28"/>
          <w:lang w:val="es-MX"/>
        </w:rPr>
        <w:t xml:space="preserve">contribuir </w:t>
      </w:r>
      <w:r w:rsidR="00101318" w:rsidRPr="009C6E2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8A6B6A">
        <w:rPr>
          <w:rFonts w:ascii="Times New Roman" w:hAnsi="Times New Roman" w:cs="Times New Roman"/>
          <w:sz w:val="28"/>
          <w:szCs w:val="28"/>
          <w:lang w:val="es-MX"/>
        </w:rPr>
        <w:t xml:space="preserve">a garantizar </w:t>
      </w:r>
      <w:r w:rsidR="00101318" w:rsidRPr="009C6E23">
        <w:rPr>
          <w:rFonts w:ascii="Times New Roman" w:hAnsi="Times New Roman" w:cs="Times New Roman"/>
          <w:sz w:val="28"/>
          <w:szCs w:val="28"/>
          <w:lang w:val="es-MX"/>
        </w:rPr>
        <w:t>el acceso a  la justicia en Guatemala.</w:t>
      </w: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s-MX"/>
        </w:rPr>
      </w:pPr>
    </w:p>
    <w:p w:rsidR="00CE5DAB" w:rsidRPr="009C6E23" w:rsidRDefault="00CE5DAB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D4E4A" w:rsidRPr="009C6E23" w:rsidRDefault="00ED4E4A" w:rsidP="007B7E31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s-MX"/>
        </w:rPr>
      </w:pPr>
    </w:p>
    <w:p w:rsidR="005D0D1A" w:rsidRPr="009C6E23" w:rsidRDefault="005D0D1A" w:rsidP="007B7E31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531718" w:rsidRPr="009C6E23" w:rsidRDefault="00531718" w:rsidP="007B7E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sectPr w:rsidR="00531718" w:rsidRPr="009C6E23" w:rsidSect="004B407C">
      <w:footerReference w:type="default" r:id="rId9"/>
      <w:pgSz w:w="11906" w:h="16838"/>
      <w:pgMar w:top="1276" w:right="1701" w:bottom="1701" w:left="1701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3F" w:rsidRDefault="00CA7C3F" w:rsidP="008077E0">
      <w:pPr>
        <w:spacing w:after="0" w:line="240" w:lineRule="auto"/>
      </w:pPr>
      <w:r>
        <w:separator/>
      </w:r>
    </w:p>
  </w:endnote>
  <w:endnote w:type="continuationSeparator" w:id="0">
    <w:p w:rsidR="00CA7C3F" w:rsidRDefault="00CA7C3F" w:rsidP="0080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C0" w:rsidRDefault="00A711C0">
    <w:pPr>
      <w:pStyle w:val="Footer"/>
    </w:pPr>
    <w:r>
      <w:t xml:space="preserve">Versión final </w:t>
    </w:r>
  </w:p>
  <w:p w:rsidR="00A711C0" w:rsidRDefault="00A71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3F" w:rsidRDefault="00CA7C3F" w:rsidP="008077E0">
      <w:pPr>
        <w:spacing w:after="0" w:line="240" w:lineRule="auto"/>
      </w:pPr>
      <w:r>
        <w:separator/>
      </w:r>
    </w:p>
  </w:footnote>
  <w:footnote w:type="continuationSeparator" w:id="0">
    <w:p w:rsidR="00CA7C3F" w:rsidRDefault="00CA7C3F" w:rsidP="0080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59F"/>
    <w:multiLevelType w:val="hybridMultilevel"/>
    <w:tmpl w:val="0018F928"/>
    <w:lvl w:ilvl="0" w:tplc="FBBCE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70C9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14CE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25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DE6E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A8E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CE5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FE6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742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CD047C"/>
    <w:multiLevelType w:val="hybridMultilevel"/>
    <w:tmpl w:val="87E8527E"/>
    <w:lvl w:ilvl="0" w:tplc="091CC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2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8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28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E3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0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B40D0"/>
    <w:multiLevelType w:val="hybridMultilevel"/>
    <w:tmpl w:val="DC44992A"/>
    <w:lvl w:ilvl="0" w:tplc="7222FA6E">
      <w:start w:val="1"/>
      <w:numFmt w:val="upperRoman"/>
      <w:lvlText w:val="%1."/>
      <w:lvlJc w:val="left"/>
      <w:pPr>
        <w:ind w:left="1440" w:hanging="720"/>
      </w:pPr>
      <w:rPr>
        <w:rFonts w:hint="default"/>
        <w:sz w:val="34"/>
        <w:szCs w:val="3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D3E54"/>
    <w:multiLevelType w:val="hybridMultilevel"/>
    <w:tmpl w:val="8CD683D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B21"/>
    <w:multiLevelType w:val="hybridMultilevel"/>
    <w:tmpl w:val="7BA4D4F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0C47"/>
    <w:multiLevelType w:val="hybridMultilevel"/>
    <w:tmpl w:val="740684AA"/>
    <w:lvl w:ilvl="0" w:tplc="0270F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4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6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D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B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A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3D35D4"/>
    <w:multiLevelType w:val="hybridMultilevel"/>
    <w:tmpl w:val="A0903E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239E7"/>
    <w:multiLevelType w:val="hybridMultilevel"/>
    <w:tmpl w:val="4776D2FE"/>
    <w:lvl w:ilvl="0" w:tplc="FFB6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0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6A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47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20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A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C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356D2E"/>
    <w:multiLevelType w:val="hybridMultilevel"/>
    <w:tmpl w:val="88B88C06"/>
    <w:lvl w:ilvl="0" w:tplc="69DC8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0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E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6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8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6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E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A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39"/>
    <w:rsid w:val="000004C4"/>
    <w:rsid w:val="00000884"/>
    <w:rsid w:val="000200EB"/>
    <w:rsid w:val="000272E5"/>
    <w:rsid w:val="000360A3"/>
    <w:rsid w:val="00036647"/>
    <w:rsid w:val="000430D7"/>
    <w:rsid w:val="0005275F"/>
    <w:rsid w:val="0005779E"/>
    <w:rsid w:val="00061D5D"/>
    <w:rsid w:val="00062874"/>
    <w:rsid w:val="0006400C"/>
    <w:rsid w:val="00064E82"/>
    <w:rsid w:val="00066854"/>
    <w:rsid w:val="00075A92"/>
    <w:rsid w:val="00076A61"/>
    <w:rsid w:val="00084BA0"/>
    <w:rsid w:val="000A0D0A"/>
    <w:rsid w:val="000A45BA"/>
    <w:rsid w:val="000B267C"/>
    <w:rsid w:val="000C14D5"/>
    <w:rsid w:val="000C23AB"/>
    <w:rsid w:val="000C23CD"/>
    <w:rsid w:val="000C69DE"/>
    <w:rsid w:val="000D34FB"/>
    <w:rsid w:val="000F174D"/>
    <w:rsid w:val="000F609C"/>
    <w:rsid w:val="000F73A0"/>
    <w:rsid w:val="000F75D4"/>
    <w:rsid w:val="00101318"/>
    <w:rsid w:val="0010187B"/>
    <w:rsid w:val="00101DCC"/>
    <w:rsid w:val="0011385D"/>
    <w:rsid w:val="00120E53"/>
    <w:rsid w:val="00121EB8"/>
    <w:rsid w:val="001236B0"/>
    <w:rsid w:val="00127449"/>
    <w:rsid w:val="00127FDF"/>
    <w:rsid w:val="00130A95"/>
    <w:rsid w:val="00136E6B"/>
    <w:rsid w:val="00157E04"/>
    <w:rsid w:val="001658DD"/>
    <w:rsid w:val="0016655A"/>
    <w:rsid w:val="00175276"/>
    <w:rsid w:val="001807A2"/>
    <w:rsid w:val="00180F89"/>
    <w:rsid w:val="0018108C"/>
    <w:rsid w:val="00181415"/>
    <w:rsid w:val="001822E8"/>
    <w:rsid w:val="001A0E3A"/>
    <w:rsid w:val="001A3698"/>
    <w:rsid w:val="001A51D2"/>
    <w:rsid w:val="001A7DAB"/>
    <w:rsid w:val="001B073D"/>
    <w:rsid w:val="001B4976"/>
    <w:rsid w:val="001C6CF4"/>
    <w:rsid w:val="001D031F"/>
    <w:rsid w:val="001E1B5F"/>
    <w:rsid w:val="001F251E"/>
    <w:rsid w:val="002038AF"/>
    <w:rsid w:val="002050F2"/>
    <w:rsid w:val="00207BA9"/>
    <w:rsid w:val="00207DA1"/>
    <w:rsid w:val="00214BBC"/>
    <w:rsid w:val="00215AAC"/>
    <w:rsid w:val="00220339"/>
    <w:rsid w:val="00231317"/>
    <w:rsid w:val="00231B22"/>
    <w:rsid w:val="00242D13"/>
    <w:rsid w:val="002510F2"/>
    <w:rsid w:val="00265813"/>
    <w:rsid w:val="00266DA8"/>
    <w:rsid w:val="00276365"/>
    <w:rsid w:val="002766EC"/>
    <w:rsid w:val="00280259"/>
    <w:rsid w:val="0028519D"/>
    <w:rsid w:val="0028589A"/>
    <w:rsid w:val="002A1335"/>
    <w:rsid w:val="002A62BD"/>
    <w:rsid w:val="002A7F09"/>
    <w:rsid w:val="002B34C5"/>
    <w:rsid w:val="002C25B8"/>
    <w:rsid w:val="002C73BB"/>
    <w:rsid w:val="002D1826"/>
    <w:rsid w:val="002E1127"/>
    <w:rsid w:val="002E610D"/>
    <w:rsid w:val="002E724E"/>
    <w:rsid w:val="002F092B"/>
    <w:rsid w:val="002F3ABA"/>
    <w:rsid w:val="002F5B53"/>
    <w:rsid w:val="003016E3"/>
    <w:rsid w:val="003058CA"/>
    <w:rsid w:val="00311082"/>
    <w:rsid w:val="003140A4"/>
    <w:rsid w:val="0032358D"/>
    <w:rsid w:val="0032744B"/>
    <w:rsid w:val="00337A0A"/>
    <w:rsid w:val="00344B1F"/>
    <w:rsid w:val="0035218A"/>
    <w:rsid w:val="00353D5B"/>
    <w:rsid w:val="00354BA9"/>
    <w:rsid w:val="00357458"/>
    <w:rsid w:val="003601CD"/>
    <w:rsid w:val="003614FD"/>
    <w:rsid w:val="003737B0"/>
    <w:rsid w:val="00385CE3"/>
    <w:rsid w:val="003930FB"/>
    <w:rsid w:val="003A02A0"/>
    <w:rsid w:val="003B061C"/>
    <w:rsid w:val="003B58C5"/>
    <w:rsid w:val="003B771C"/>
    <w:rsid w:val="003C0A57"/>
    <w:rsid w:val="003C6A7A"/>
    <w:rsid w:val="003D3EC9"/>
    <w:rsid w:val="003D544B"/>
    <w:rsid w:val="003E3B1E"/>
    <w:rsid w:val="003F2F7F"/>
    <w:rsid w:val="004140BB"/>
    <w:rsid w:val="00415D0B"/>
    <w:rsid w:val="004169ED"/>
    <w:rsid w:val="00436B3B"/>
    <w:rsid w:val="004409F0"/>
    <w:rsid w:val="00442850"/>
    <w:rsid w:val="0044386D"/>
    <w:rsid w:val="0045403A"/>
    <w:rsid w:val="00456BAD"/>
    <w:rsid w:val="0046052B"/>
    <w:rsid w:val="00475075"/>
    <w:rsid w:val="00475C95"/>
    <w:rsid w:val="00476906"/>
    <w:rsid w:val="00491A9E"/>
    <w:rsid w:val="0049749E"/>
    <w:rsid w:val="004A1085"/>
    <w:rsid w:val="004A3AA9"/>
    <w:rsid w:val="004B0250"/>
    <w:rsid w:val="004B04D7"/>
    <w:rsid w:val="004B3E46"/>
    <w:rsid w:val="004B407C"/>
    <w:rsid w:val="004B7EF6"/>
    <w:rsid w:val="004C12A4"/>
    <w:rsid w:val="004C42B8"/>
    <w:rsid w:val="004C43A6"/>
    <w:rsid w:val="004C52E9"/>
    <w:rsid w:val="004E2ABB"/>
    <w:rsid w:val="004E71A1"/>
    <w:rsid w:val="004F113E"/>
    <w:rsid w:val="004F3B43"/>
    <w:rsid w:val="004F4D3F"/>
    <w:rsid w:val="004F62A9"/>
    <w:rsid w:val="0050420F"/>
    <w:rsid w:val="00504759"/>
    <w:rsid w:val="00520F5B"/>
    <w:rsid w:val="005241F3"/>
    <w:rsid w:val="00525831"/>
    <w:rsid w:val="00526741"/>
    <w:rsid w:val="0052781A"/>
    <w:rsid w:val="00530B3A"/>
    <w:rsid w:val="00531718"/>
    <w:rsid w:val="00534BAD"/>
    <w:rsid w:val="0053555C"/>
    <w:rsid w:val="0054182A"/>
    <w:rsid w:val="005459A0"/>
    <w:rsid w:val="00546A62"/>
    <w:rsid w:val="005529D6"/>
    <w:rsid w:val="00555577"/>
    <w:rsid w:val="005567C7"/>
    <w:rsid w:val="005658CC"/>
    <w:rsid w:val="00575ECE"/>
    <w:rsid w:val="0059628B"/>
    <w:rsid w:val="005A0203"/>
    <w:rsid w:val="005A4099"/>
    <w:rsid w:val="005A6D56"/>
    <w:rsid w:val="005B1CC9"/>
    <w:rsid w:val="005B23CF"/>
    <w:rsid w:val="005B58D4"/>
    <w:rsid w:val="005C1B06"/>
    <w:rsid w:val="005C5D63"/>
    <w:rsid w:val="005D018A"/>
    <w:rsid w:val="005D0B20"/>
    <w:rsid w:val="005D0D1A"/>
    <w:rsid w:val="005D1B52"/>
    <w:rsid w:val="005D7EB2"/>
    <w:rsid w:val="005E450E"/>
    <w:rsid w:val="005F185B"/>
    <w:rsid w:val="005F33FB"/>
    <w:rsid w:val="005F66A5"/>
    <w:rsid w:val="00611CBE"/>
    <w:rsid w:val="00621066"/>
    <w:rsid w:val="006254BA"/>
    <w:rsid w:val="0063603D"/>
    <w:rsid w:val="00636D4C"/>
    <w:rsid w:val="00644932"/>
    <w:rsid w:val="00652BC1"/>
    <w:rsid w:val="00655BAA"/>
    <w:rsid w:val="0066153A"/>
    <w:rsid w:val="0066484F"/>
    <w:rsid w:val="00665893"/>
    <w:rsid w:val="00671644"/>
    <w:rsid w:val="006750A1"/>
    <w:rsid w:val="00681CD0"/>
    <w:rsid w:val="00683BBF"/>
    <w:rsid w:val="006D73CB"/>
    <w:rsid w:val="006E0A19"/>
    <w:rsid w:val="006E456D"/>
    <w:rsid w:val="006E5154"/>
    <w:rsid w:val="006E764C"/>
    <w:rsid w:val="006F389B"/>
    <w:rsid w:val="006F573D"/>
    <w:rsid w:val="006F63BB"/>
    <w:rsid w:val="00700AC7"/>
    <w:rsid w:val="00706F1F"/>
    <w:rsid w:val="00715F3F"/>
    <w:rsid w:val="00716DFE"/>
    <w:rsid w:val="007234CD"/>
    <w:rsid w:val="00723950"/>
    <w:rsid w:val="00727317"/>
    <w:rsid w:val="00727E7B"/>
    <w:rsid w:val="00743B18"/>
    <w:rsid w:val="00747E53"/>
    <w:rsid w:val="007535EA"/>
    <w:rsid w:val="00763873"/>
    <w:rsid w:val="0076641F"/>
    <w:rsid w:val="00771F2F"/>
    <w:rsid w:val="00777CFD"/>
    <w:rsid w:val="007857F8"/>
    <w:rsid w:val="0079296D"/>
    <w:rsid w:val="00793F93"/>
    <w:rsid w:val="007951D7"/>
    <w:rsid w:val="007A73A5"/>
    <w:rsid w:val="007A7684"/>
    <w:rsid w:val="007B075B"/>
    <w:rsid w:val="007B38B2"/>
    <w:rsid w:val="007B4449"/>
    <w:rsid w:val="007B7E31"/>
    <w:rsid w:val="007C3AF3"/>
    <w:rsid w:val="007F61FF"/>
    <w:rsid w:val="008077E0"/>
    <w:rsid w:val="00811522"/>
    <w:rsid w:val="00820974"/>
    <w:rsid w:val="00840617"/>
    <w:rsid w:val="00842E2D"/>
    <w:rsid w:val="008440D2"/>
    <w:rsid w:val="008506D4"/>
    <w:rsid w:val="008669AE"/>
    <w:rsid w:val="00881FC2"/>
    <w:rsid w:val="0088245E"/>
    <w:rsid w:val="008A1152"/>
    <w:rsid w:val="008A2739"/>
    <w:rsid w:val="008A50E2"/>
    <w:rsid w:val="008A63DB"/>
    <w:rsid w:val="008A6B6A"/>
    <w:rsid w:val="008A6F39"/>
    <w:rsid w:val="008B17B3"/>
    <w:rsid w:val="008B2875"/>
    <w:rsid w:val="008B4066"/>
    <w:rsid w:val="008B7A44"/>
    <w:rsid w:val="008D6F33"/>
    <w:rsid w:val="008F556B"/>
    <w:rsid w:val="008F66CA"/>
    <w:rsid w:val="009074BF"/>
    <w:rsid w:val="00913BD1"/>
    <w:rsid w:val="00913D86"/>
    <w:rsid w:val="00920D46"/>
    <w:rsid w:val="009218F9"/>
    <w:rsid w:val="0092293C"/>
    <w:rsid w:val="009231D5"/>
    <w:rsid w:val="00926E1F"/>
    <w:rsid w:val="00934431"/>
    <w:rsid w:val="00936E49"/>
    <w:rsid w:val="0094492D"/>
    <w:rsid w:val="00946ABB"/>
    <w:rsid w:val="009606C3"/>
    <w:rsid w:val="00982A81"/>
    <w:rsid w:val="00985C67"/>
    <w:rsid w:val="00987EB3"/>
    <w:rsid w:val="009B0E23"/>
    <w:rsid w:val="009B1076"/>
    <w:rsid w:val="009B2092"/>
    <w:rsid w:val="009B2240"/>
    <w:rsid w:val="009C6E23"/>
    <w:rsid w:val="009E466A"/>
    <w:rsid w:val="009F1DAA"/>
    <w:rsid w:val="009F73D4"/>
    <w:rsid w:val="00A21FE5"/>
    <w:rsid w:val="00A27515"/>
    <w:rsid w:val="00A34DCA"/>
    <w:rsid w:val="00A647CB"/>
    <w:rsid w:val="00A6558F"/>
    <w:rsid w:val="00A711C0"/>
    <w:rsid w:val="00A7375C"/>
    <w:rsid w:val="00A74B93"/>
    <w:rsid w:val="00A84F3A"/>
    <w:rsid w:val="00A90784"/>
    <w:rsid w:val="00A944B2"/>
    <w:rsid w:val="00A9658C"/>
    <w:rsid w:val="00AE39E6"/>
    <w:rsid w:val="00B00DF7"/>
    <w:rsid w:val="00B03F7C"/>
    <w:rsid w:val="00B104C0"/>
    <w:rsid w:val="00B122C4"/>
    <w:rsid w:val="00B133C9"/>
    <w:rsid w:val="00B15298"/>
    <w:rsid w:val="00B15E9C"/>
    <w:rsid w:val="00B2142B"/>
    <w:rsid w:val="00B21566"/>
    <w:rsid w:val="00B22093"/>
    <w:rsid w:val="00B254C3"/>
    <w:rsid w:val="00B32095"/>
    <w:rsid w:val="00B34745"/>
    <w:rsid w:val="00B37F3D"/>
    <w:rsid w:val="00B52300"/>
    <w:rsid w:val="00B62222"/>
    <w:rsid w:val="00B7127D"/>
    <w:rsid w:val="00B737A6"/>
    <w:rsid w:val="00B806AF"/>
    <w:rsid w:val="00B846A0"/>
    <w:rsid w:val="00B8722A"/>
    <w:rsid w:val="00B91D15"/>
    <w:rsid w:val="00B93A0C"/>
    <w:rsid w:val="00BA0807"/>
    <w:rsid w:val="00BA3A47"/>
    <w:rsid w:val="00BA3D54"/>
    <w:rsid w:val="00BF044C"/>
    <w:rsid w:val="00BF36FD"/>
    <w:rsid w:val="00BF5F2A"/>
    <w:rsid w:val="00BF69B3"/>
    <w:rsid w:val="00BF710B"/>
    <w:rsid w:val="00C01C35"/>
    <w:rsid w:val="00C01E3F"/>
    <w:rsid w:val="00C02815"/>
    <w:rsid w:val="00C1034D"/>
    <w:rsid w:val="00C249EC"/>
    <w:rsid w:val="00C252EC"/>
    <w:rsid w:val="00C371FD"/>
    <w:rsid w:val="00C37737"/>
    <w:rsid w:val="00C415EB"/>
    <w:rsid w:val="00C45F0C"/>
    <w:rsid w:val="00C46B75"/>
    <w:rsid w:val="00C562CB"/>
    <w:rsid w:val="00C64CE8"/>
    <w:rsid w:val="00C65E41"/>
    <w:rsid w:val="00C84152"/>
    <w:rsid w:val="00C84E9C"/>
    <w:rsid w:val="00C8652D"/>
    <w:rsid w:val="00CA7C3F"/>
    <w:rsid w:val="00CB4BD5"/>
    <w:rsid w:val="00CC2819"/>
    <w:rsid w:val="00CC5920"/>
    <w:rsid w:val="00CC7B31"/>
    <w:rsid w:val="00CD7870"/>
    <w:rsid w:val="00CE4739"/>
    <w:rsid w:val="00CE51D0"/>
    <w:rsid w:val="00CE5DAB"/>
    <w:rsid w:val="00CE68FD"/>
    <w:rsid w:val="00CF461A"/>
    <w:rsid w:val="00CF665C"/>
    <w:rsid w:val="00D00B8C"/>
    <w:rsid w:val="00D14651"/>
    <w:rsid w:val="00D1679B"/>
    <w:rsid w:val="00D258E8"/>
    <w:rsid w:val="00D42618"/>
    <w:rsid w:val="00D461DE"/>
    <w:rsid w:val="00D5415B"/>
    <w:rsid w:val="00D55746"/>
    <w:rsid w:val="00D55F80"/>
    <w:rsid w:val="00D6033F"/>
    <w:rsid w:val="00D650FD"/>
    <w:rsid w:val="00D7077A"/>
    <w:rsid w:val="00D70965"/>
    <w:rsid w:val="00D83903"/>
    <w:rsid w:val="00D86B63"/>
    <w:rsid w:val="00DA31CD"/>
    <w:rsid w:val="00DA67E2"/>
    <w:rsid w:val="00DA7311"/>
    <w:rsid w:val="00DB092A"/>
    <w:rsid w:val="00DD066F"/>
    <w:rsid w:val="00DD4FD3"/>
    <w:rsid w:val="00DD6C37"/>
    <w:rsid w:val="00DF0034"/>
    <w:rsid w:val="00DF77E0"/>
    <w:rsid w:val="00E03946"/>
    <w:rsid w:val="00E04581"/>
    <w:rsid w:val="00E046FF"/>
    <w:rsid w:val="00E176A1"/>
    <w:rsid w:val="00E24FBD"/>
    <w:rsid w:val="00E3140B"/>
    <w:rsid w:val="00E35730"/>
    <w:rsid w:val="00E40D58"/>
    <w:rsid w:val="00E4127A"/>
    <w:rsid w:val="00E418A2"/>
    <w:rsid w:val="00E43EB2"/>
    <w:rsid w:val="00E44453"/>
    <w:rsid w:val="00E448E9"/>
    <w:rsid w:val="00E46CAB"/>
    <w:rsid w:val="00E46CD8"/>
    <w:rsid w:val="00E53332"/>
    <w:rsid w:val="00E61F36"/>
    <w:rsid w:val="00E67433"/>
    <w:rsid w:val="00E720AF"/>
    <w:rsid w:val="00E7280A"/>
    <w:rsid w:val="00E75319"/>
    <w:rsid w:val="00E90210"/>
    <w:rsid w:val="00E95CB2"/>
    <w:rsid w:val="00EA0778"/>
    <w:rsid w:val="00EA3DC1"/>
    <w:rsid w:val="00EB3195"/>
    <w:rsid w:val="00EB4563"/>
    <w:rsid w:val="00EC41B0"/>
    <w:rsid w:val="00EC5AEF"/>
    <w:rsid w:val="00EC7322"/>
    <w:rsid w:val="00EC74C7"/>
    <w:rsid w:val="00ED4E4A"/>
    <w:rsid w:val="00ED52A5"/>
    <w:rsid w:val="00EF2009"/>
    <w:rsid w:val="00F0374C"/>
    <w:rsid w:val="00F07F84"/>
    <w:rsid w:val="00F14D44"/>
    <w:rsid w:val="00F15965"/>
    <w:rsid w:val="00F16913"/>
    <w:rsid w:val="00F23D78"/>
    <w:rsid w:val="00F30E0D"/>
    <w:rsid w:val="00F33621"/>
    <w:rsid w:val="00F4329B"/>
    <w:rsid w:val="00F43EA7"/>
    <w:rsid w:val="00F4747B"/>
    <w:rsid w:val="00F56415"/>
    <w:rsid w:val="00F7562B"/>
    <w:rsid w:val="00F75ECE"/>
    <w:rsid w:val="00F84D76"/>
    <w:rsid w:val="00F85081"/>
    <w:rsid w:val="00F85351"/>
    <w:rsid w:val="00F8619C"/>
    <w:rsid w:val="00F9187B"/>
    <w:rsid w:val="00F95190"/>
    <w:rsid w:val="00F95E49"/>
    <w:rsid w:val="00FA1838"/>
    <w:rsid w:val="00FA7F08"/>
    <w:rsid w:val="00FB44F1"/>
    <w:rsid w:val="00FB6775"/>
    <w:rsid w:val="00FC28CF"/>
    <w:rsid w:val="00FC499C"/>
    <w:rsid w:val="00FC6155"/>
    <w:rsid w:val="00FD1544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27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DCC"/>
    <w:pPr>
      <w:ind w:left="720"/>
      <w:contextualSpacing/>
    </w:pPr>
    <w:rPr>
      <w:lang w:val="es-CR"/>
    </w:rPr>
  </w:style>
  <w:style w:type="character" w:styleId="Hyperlink">
    <w:name w:val="Hyperlink"/>
    <w:basedOn w:val="DefaultParagraphFont"/>
    <w:uiPriority w:val="99"/>
    <w:semiHidden/>
    <w:unhideWhenUsed/>
    <w:rsid w:val="00F95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190"/>
    <w:rPr>
      <w:color w:val="800080"/>
      <w:u w:val="single"/>
    </w:rPr>
  </w:style>
  <w:style w:type="paragraph" w:customStyle="1" w:styleId="xl65">
    <w:name w:val="xl65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E0"/>
  </w:style>
  <w:style w:type="paragraph" w:styleId="Footer">
    <w:name w:val="footer"/>
    <w:basedOn w:val="Normal"/>
    <w:link w:val="FooterChar"/>
    <w:uiPriority w:val="99"/>
    <w:unhideWhenUsed/>
    <w:rsid w:val="00807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E0"/>
  </w:style>
  <w:style w:type="character" w:customStyle="1" w:styleId="NoSpacingChar">
    <w:name w:val="No Spacing Char"/>
    <w:basedOn w:val="DefaultParagraphFont"/>
    <w:link w:val="NoSpacing"/>
    <w:uiPriority w:val="1"/>
    <w:rsid w:val="008077E0"/>
  </w:style>
  <w:style w:type="character" w:styleId="EndnoteReference">
    <w:name w:val="endnote reference"/>
    <w:aliases w:val="1_G"/>
    <w:rsid w:val="006F63B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6F63B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F63B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3B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27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DCC"/>
    <w:pPr>
      <w:ind w:left="720"/>
      <w:contextualSpacing/>
    </w:pPr>
    <w:rPr>
      <w:lang w:val="es-CR"/>
    </w:rPr>
  </w:style>
  <w:style w:type="character" w:styleId="Hyperlink">
    <w:name w:val="Hyperlink"/>
    <w:basedOn w:val="DefaultParagraphFont"/>
    <w:uiPriority w:val="99"/>
    <w:semiHidden/>
    <w:unhideWhenUsed/>
    <w:rsid w:val="00F95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190"/>
    <w:rPr>
      <w:color w:val="800080"/>
      <w:u w:val="single"/>
    </w:rPr>
  </w:style>
  <w:style w:type="paragraph" w:customStyle="1" w:styleId="xl65">
    <w:name w:val="xl65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9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E0"/>
  </w:style>
  <w:style w:type="paragraph" w:styleId="Footer">
    <w:name w:val="footer"/>
    <w:basedOn w:val="Normal"/>
    <w:link w:val="FooterChar"/>
    <w:uiPriority w:val="99"/>
    <w:unhideWhenUsed/>
    <w:rsid w:val="00807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E0"/>
  </w:style>
  <w:style w:type="character" w:customStyle="1" w:styleId="NoSpacingChar">
    <w:name w:val="No Spacing Char"/>
    <w:basedOn w:val="DefaultParagraphFont"/>
    <w:link w:val="NoSpacing"/>
    <w:uiPriority w:val="1"/>
    <w:rsid w:val="008077E0"/>
  </w:style>
  <w:style w:type="character" w:styleId="EndnoteReference">
    <w:name w:val="endnote reference"/>
    <w:aliases w:val="1_G"/>
    <w:rsid w:val="006F63B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6F63B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F63B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3B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0.1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357238E7E84C48B686D1D0784BB087" ma:contentTypeVersion="2" ma:contentTypeDescription="Country Statements" ma:contentTypeScope="" ma:versionID="ac7ce5b1c96cb6f84d95726185a8b3a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D4D05-B873-4E57-8131-828898471FC0}"/>
</file>

<file path=customXml/itemProps2.xml><?xml version="1.0" encoding="utf-8"?>
<ds:datastoreItem xmlns:ds="http://schemas.openxmlformats.org/officeDocument/2006/customXml" ds:itemID="{4745F9DC-0F5F-4F27-B132-01C469243C67}"/>
</file>

<file path=customXml/itemProps3.xml><?xml version="1.0" encoding="utf-8"?>
<ds:datastoreItem xmlns:ds="http://schemas.openxmlformats.org/officeDocument/2006/customXml" ds:itemID="{E2B12B23-6CDB-456C-8D6A-DA4C5B8CDBDF}"/>
</file>

<file path=customXml/itemProps4.xml><?xml version="1.0" encoding="utf-8"?>
<ds:datastoreItem xmlns:ds="http://schemas.openxmlformats.org/officeDocument/2006/customXml" ds:itemID="{EEDF8A69-1874-475E-AA94-3B2E7B7AE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statement</dc:title>
  <dc:creator>htista</dc:creator>
  <cp:lastModifiedBy>Eeva Kristiina Holopainen</cp:lastModifiedBy>
  <cp:revision>2</cp:revision>
  <cp:lastPrinted>2012-10-23T18:51:00Z</cp:lastPrinted>
  <dcterms:created xsi:type="dcterms:W3CDTF">2012-10-24T12:35:00Z</dcterms:created>
  <dcterms:modified xsi:type="dcterms:W3CDTF">2012-10-24T12:35:00Z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0x010100CA92D31222379248846EF4F1EBFB5EDE0088357238E7E84C48B686D1D0784BB087</vt:lpwstr>
  </property>
</Properties>
</file>